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360"/>
        <w:jc w:val="center"/>
      </w:pPr>
      <w:r>
        <w:rPr>
          <w:rFonts w:ascii="Calibri" w:hAnsi="Calibri"/>
          <w:b/>
          <w:color w:val="7A5A00"/>
          <w:sz w:val="20"/>
        </w:rPr>
        <w:t>COMMUNITY FINANCIAL EDUCATION</w:t>
      </w:r>
    </w:p>
    <w:p>
      <w:pPr>
        <w:pStyle w:val="Title"/>
        <w:jc w:val="center"/>
      </w:pPr>
      <w:r>
        <w:t>Household Finance Skills Workbook</w:t>
      </w:r>
    </w:p>
    <w:p>
      <w:pPr>
        <w:pStyle w:val="Subtitle"/>
        <w:jc w:val="center"/>
      </w:pPr>
      <w:r>
        <w:t>From Daily Control to Generational Wealth</w:t>
      </w:r>
    </w:p>
    <w:p>
      <w:pPr>
        <w:spacing w:before="160" w:after="720"/>
        <w:jc w:val="center"/>
      </w:pPr>
      <w:r>
        <w:rPr>
          <w:rFonts w:ascii="Calibri" w:hAnsi="Calibri"/>
          <w:i/>
          <w:color w:val="5B6573"/>
          <w:sz w:val="24"/>
        </w:rPr>
        <w:t>One practical course for a first paycheck, a shared household, midlife, retirement, or a fresh start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COURSE RULE  </w:t>
            </w:r>
            <w:r>
              <w:rPr>
                <w:rFonts w:ascii="Calibri" w:hAnsi="Calibri"/>
                <w:b/>
                <w:color w:val="0B2545"/>
                <w:sz w:val="22"/>
              </w:rPr>
              <w:t>Keep spending within available income. Protect necessities. Save before upgrading your lifestyle. Pay for optional treats only from money set aside in advance—never with credit, buy-now-pay-later plans, overdrafts, emergency savings, or bill money.</w:t>
            </w:r>
          </w:p>
        </w:tc>
      </w:tr>
    </w:tbl>
    <w:p>
      <w:pPr>
        <w:spacing w:after="0"/>
      </w:pPr>
    </w:p>
    <w:p>
      <w:pPr>
        <w:spacing w:before="840" w:after="80"/>
        <w:jc w:val="center"/>
      </w:pPr>
      <w:r>
        <w:rPr>
          <w:rFonts w:ascii="Calibri" w:hAnsi="Calibri"/>
          <w:b/>
          <w:color w:val="0B2545"/>
          <w:sz w:val="21"/>
        </w:rPr>
        <w:t>Developed for community financial education | Brent Roberson</w:t>
      </w:r>
    </w:p>
    <w:p>
      <w:pPr>
        <w:jc w:val="center"/>
      </w:pPr>
      <w:r>
        <w:rPr>
          <w:rFonts w:ascii="Calibri" w:hAnsi="Calibri"/>
          <w:color w:val="5B6573"/>
          <w:sz w:val="19"/>
        </w:rPr>
        <w:t>Founding Edition | September 2026</w:t>
      </w:r>
    </w:p>
    <w:p>
      <w:pPr>
        <w:sectPr>
          <w:pgSz w:w="12240" w:h="15840"/>
          <w:pgMar w:top="1440" w:right="1440" w:bottom="1440" w:left="1440" w:header="708" w:footer="708" w:gutter="0"/>
          <w:cols w:space="720"/>
          <w:docGrid w:linePitch="360"/>
        </w:sectPr>
      </w:pPr>
    </w:p>
    <w:p>
      <w:pPr>
        <w:pStyle w:val="Heading1"/>
        <w:keepNext/>
      </w:pPr>
      <w:r>
        <w:t>Welcome</w:t>
      </w:r>
    </w:p>
    <w:p>
      <w:pPr>
        <w:spacing w:before="0" w:after="120" w:line="300" w:lineRule="auto"/>
      </w:pPr>
      <w:r>
        <w:rPr>
          <w:rFonts w:ascii="Calibri" w:hAnsi="Calibri"/>
          <w:i w:val="0"/>
          <w:color w:val="0B2545"/>
          <w:sz w:val="22"/>
        </w:rPr>
        <w:t>This is one course for people whose money must work in real life: a student receiving a first paycheck, two people building a household, a worker supporting a family, a retiree on fixed income, a 50-year-old who needs a fresh start, or anyone tired of wondering where the money went.</w:t>
      </w:r>
    </w:p>
    <w:p>
      <w:pPr>
        <w:spacing w:before="0" w:after="120" w:line="300" w:lineRule="auto"/>
      </w:pPr>
      <w:r>
        <w:rPr>
          <w:rFonts w:ascii="Calibri" w:hAnsi="Calibri"/>
          <w:i w:val="0"/>
          <w:color w:val="0B2545"/>
          <w:sz w:val="22"/>
        </w:rPr>
        <w:t>It is secular, practical, and independent. It does not require a particular income, home, credit card, investment product, or public disclosure of private numbers. It does not measure character by debt, savings, a vehicle, a house, or a credit score.</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COURSE PROMISE  </w:t>
            </w:r>
            <w:r>
              <w:rPr>
                <w:rFonts w:ascii="Calibri" w:hAnsi="Calibri"/>
                <w:b/>
                <w:color w:val="0B2545"/>
                <w:sz w:val="22"/>
              </w:rPr>
              <w:t>You will know what your life actually costs, what you can safely spend, what the next paycheck must do, how to stop borrowing for wants, what cash protection you need, and which action comes next.</w:t>
            </w:r>
          </w:p>
        </w:tc>
      </w:tr>
    </w:tbl>
    <w:p>
      <w:pPr>
        <w:spacing w:after="0"/>
      </w:pPr>
    </w:p>
    <w:p>
      <w:pPr>
        <w:pStyle w:val="Heading2"/>
        <w:keepNext/>
      </w:pPr>
      <w:r>
        <w:t>What makes this course different</w:t>
      </w:r>
    </w:p>
    <w:p>
      <w:pPr>
        <w:numPr>
          <w:ilvl w:val="0"/>
          <w:numId w:val="10"/>
        </w:numPr>
        <w:spacing w:before="0" w:after="80" w:line="300" w:lineRule="auto"/>
      </w:pPr>
      <w:r>
        <w:rPr>
          <w:rFonts w:ascii="Calibri" w:hAnsi="Calibri"/>
          <w:color w:val="0B2545"/>
          <w:sz w:val="22"/>
        </w:rPr>
        <w:t>A personal Monthly Essential-Cost Total and Emergency-Savings Milestones replace one-size-fits-all targets.</w:t>
      </w:r>
    </w:p>
    <w:p>
      <w:pPr>
        <w:numPr>
          <w:ilvl w:val="0"/>
          <w:numId w:val="10"/>
        </w:numPr>
        <w:spacing w:before="0" w:after="80" w:line="300" w:lineRule="auto"/>
      </w:pPr>
      <w:r>
        <w:rPr>
          <w:rFonts w:ascii="Calibri" w:hAnsi="Calibri"/>
          <w:color w:val="0B2545"/>
          <w:sz w:val="22"/>
        </w:rPr>
        <w:t>People with a shortfall can complete the course; success is not limited to people with spare money.</w:t>
      </w:r>
    </w:p>
    <w:p>
      <w:pPr>
        <w:numPr>
          <w:ilvl w:val="0"/>
          <w:numId w:val="10"/>
        </w:numPr>
        <w:spacing w:before="0" w:after="80" w:line="300" w:lineRule="auto"/>
      </w:pPr>
      <w:r>
        <w:rPr>
          <w:rFonts w:ascii="Calibri" w:hAnsi="Calibri"/>
          <w:color w:val="0B2545"/>
          <w:sz w:val="22"/>
        </w:rPr>
        <w:t>Enjoyment stays in the plan through separate, pre-funded Planned Fun Money.</w:t>
      </w:r>
    </w:p>
    <w:p>
      <w:pPr>
        <w:numPr>
          <w:ilvl w:val="0"/>
          <w:numId w:val="10"/>
        </w:numPr>
        <w:spacing w:before="0" w:after="80" w:line="300" w:lineRule="auto"/>
      </w:pPr>
      <w:r>
        <w:rPr>
          <w:rFonts w:ascii="Calibri" w:hAnsi="Calibri"/>
          <w:color w:val="0B2545"/>
          <w:sz w:val="22"/>
        </w:rPr>
        <w:t>Credit cards, buy-now-pay-later plans, overdrafts, and emergency money never fund splurges.</w:t>
      </w:r>
    </w:p>
    <w:p>
      <w:pPr>
        <w:numPr>
          <w:ilvl w:val="0"/>
          <w:numId w:val="10"/>
        </w:numPr>
        <w:spacing w:before="0" w:after="80" w:line="300" w:lineRule="auto"/>
      </w:pPr>
      <w:r>
        <w:rPr>
          <w:rFonts w:ascii="Calibri" w:hAnsi="Calibri"/>
          <w:color w:val="0B2545"/>
          <w:sz w:val="22"/>
        </w:rPr>
        <w:t>Cars, houses, education, and other major decisions are judged by complete cost, not a monthly-payment sales pitch.</w:t>
      </w:r>
    </w:p>
    <w:p>
      <w:pPr>
        <w:numPr>
          <w:ilvl w:val="0"/>
          <w:numId w:val="10"/>
        </w:numPr>
        <w:spacing w:before="0" w:after="80" w:line="300" w:lineRule="auto"/>
      </w:pPr>
      <w:r>
        <w:rPr>
          <w:rFonts w:ascii="Calibri" w:hAnsi="Calibri"/>
          <w:color w:val="0B2545"/>
          <w:sz w:val="22"/>
        </w:rPr>
        <w:t>Starting at 50 or later is treated honestly: the plan uses several practical levers rather than promising a miracle.</w:t>
      </w:r>
    </w:p>
    <w:p>
      <w:pPr>
        <w:pStyle w:val="Heading2"/>
        <w:keepNext/>
      </w:pPr>
      <w:r>
        <w:t>Important educational notice</w:t>
      </w:r>
    </w:p>
    <w:p>
      <w:pPr>
        <w:spacing w:before="0" w:after="120" w:line="300" w:lineRule="auto"/>
      </w:pPr>
      <w:r>
        <w:rPr>
          <w:rFonts w:ascii="Calibri" w:hAnsi="Calibri"/>
          <w:i w:val="0"/>
          <w:color w:val="5B6573"/>
          <w:sz w:val="22"/>
        </w:rPr>
        <w:t>This material provides general education, not individualized investment, tax, legal, insurance, credit, benefits, or housing advice. Rules, limits, repayment programs, and eligibility standards change. Verify current information at the official sources listed at the end and consult qualified professionals who understand your circumstances.</w:t>
      </w:r>
    </w:p>
    <w:p>
      <w:pPr>
        <w:spacing w:before="0" w:after="120" w:line="300" w:lineRule="auto"/>
      </w:pPr>
      <w:r>
        <w:rPr>
          <w:rFonts w:ascii="Calibri" w:hAnsi="Calibri"/>
          <w:i w:val="0"/>
          <w:color w:val="5B6573"/>
          <w:sz w:val="22"/>
        </w:rPr>
        <w:t>This independently developed course is not sponsored by, affiliated with, or endorsed by any financial-education provider, employer, or financial-product company. No participant should be required to purchase a product or reveal private balances in class.</w:t>
      </w:r>
    </w:p>
    <w:p>
      <w:pPr>
        <w:keepNext/>
        <w:pageBreakBefore/>
        <w:spacing w:before="0" w:after="60"/>
      </w:pPr>
      <w:r>
        <w:rPr>
          <w:rFonts w:ascii="Calibri" w:hAnsi="Calibri"/>
          <w:b/>
          <w:color w:val="7A5A00"/>
          <w:sz w:val="19"/>
        </w:rPr>
        <w:t>ONE COURSE - FOUR STARTING POINTS</w:t>
      </w:r>
    </w:p>
    <w:p>
      <w:pPr>
        <w:pStyle w:val="Heading1"/>
        <w:keepNext/>
      </w:pPr>
      <w:r>
        <w:t>Choose Your Current Path</w:t>
      </w:r>
    </w:p>
    <w:p>
      <w:pPr>
        <w:spacing w:before="0" w:after="120" w:line="300" w:lineRule="auto"/>
      </w:pPr>
      <w:r>
        <w:rPr>
          <w:rFonts w:ascii="Calibri" w:hAnsi="Calibri"/>
          <w:i w:val="0"/>
          <w:color w:val="0B2545"/>
          <w:sz w:val="22"/>
        </w:rPr>
        <w:t>The course does not divide people by age, job, income, or family type. Choose the condition that best describes this month. Complete the same lesson as everyone else, then use the matching row in each session to choose your next action.</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440"/>
        <w:gridCol w:w="4032"/>
        <w:gridCol w:w="3888"/>
      </w:tblGrid>
      <w:tr>
        <w:trPr>
          <w:tblHeader w:val="true"/>
          <w:cantSplit/>
        </w:trPr>
        <w:tc>
          <w:tcPr>
            <w:tcW w:type="dxa" w:w="1440"/>
            <w:shd w:fill="E8EEF5"/>
            <w:tcMar>
              <w:top w:w="80" w:type="dxa"/>
              <w:start w:w="120" w:type="dxa"/>
              <w:bottom w:w="80" w:type="dxa"/>
              <w:end w:w="120" w:type="dxa"/>
            </w:tcMar>
            <w:vAlign w:val="center"/>
          </w:tcPr>
          <w:p>
            <w:pPr>
              <w:jc w:val="left"/>
            </w:pPr>
            <w:r>
              <w:rPr>
                <w:rFonts w:ascii="Calibri" w:hAnsi="Calibri"/>
                <w:b/>
                <w:color w:val="0B2545"/>
                <w:sz w:val="19"/>
              </w:rPr>
              <w:t>Path</w:t>
            </w:r>
          </w:p>
        </w:tc>
        <w:tc>
          <w:tcPr>
            <w:tcW w:type="dxa" w:w="4032"/>
            <w:shd w:fill="E8EEF5"/>
            <w:tcMar>
              <w:top w:w="80" w:type="dxa"/>
              <w:start w:w="120" w:type="dxa"/>
              <w:bottom w:w="80" w:type="dxa"/>
              <w:end w:w="120" w:type="dxa"/>
            </w:tcMar>
            <w:vAlign w:val="center"/>
          </w:tcPr>
          <w:p>
            <w:pPr>
              <w:jc w:val="left"/>
            </w:pPr>
            <w:r>
              <w:rPr>
                <w:rFonts w:ascii="Calibri" w:hAnsi="Calibri"/>
                <w:b/>
                <w:color w:val="0B2545"/>
                <w:sz w:val="19"/>
              </w:rPr>
              <w:t>Choose this path when ...</w:t>
            </w:r>
          </w:p>
        </w:tc>
        <w:tc>
          <w:tcPr>
            <w:tcW w:type="dxa" w:w="3888"/>
            <w:shd w:fill="E8EEF5"/>
            <w:tcMar>
              <w:top w:w="80" w:type="dxa"/>
              <w:start w:w="120" w:type="dxa"/>
              <w:bottom w:w="80" w:type="dxa"/>
              <w:end w:w="120" w:type="dxa"/>
            </w:tcMar>
            <w:vAlign w:val="center"/>
          </w:tcPr>
          <w:p>
            <w:pPr>
              <w:jc w:val="left"/>
            </w:pPr>
            <w:r>
              <w:rPr>
                <w:rFonts w:ascii="Calibri" w:hAnsi="Calibri"/>
                <w:b/>
                <w:color w:val="0B2545"/>
                <w:sz w:val="19"/>
              </w:rPr>
              <w:t>Immediate purpose</w:t>
            </w:r>
          </w:p>
        </w:tc>
      </w:tr>
      <w:tr>
        <w:trPr>
          <w:cantSplit/>
        </w:trPr>
        <w:tc>
          <w:tcPr>
            <w:tcW w:type="dxa" w:w="1440"/>
            <w:tcMar>
              <w:top w:w="80" w:type="dxa"/>
              <w:start w:w="120" w:type="dxa"/>
              <w:bottom w:w="80" w:type="dxa"/>
              <w:end w:w="120" w:type="dxa"/>
            </w:tcMar>
            <w:vAlign w:val="center"/>
          </w:tcPr>
          <w:p>
            <w:pPr>
              <w:spacing w:after="20" w:line="264" w:lineRule="auto"/>
            </w:pPr>
            <w:r>
              <w:rPr>
                <w:rFonts w:ascii="Calibri" w:hAnsi="Calibri"/>
                <w:color w:val="0B2545"/>
                <w:sz w:val="19"/>
              </w:rPr>
              <w:t>Crisis</w:t>
            </w:r>
          </w:p>
        </w:tc>
        <w:tc>
          <w:tcPr>
            <w:tcW w:type="dxa" w:w="4032"/>
            <w:tcMar>
              <w:top w:w="80" w:type="dxa"/>
              <w:start w:w="120" w:type="dxa"/>
              <w:bottom w:w="80" w:type="dxa"/>
              <w:end w:w="120" w:type="dxa"/>
            </w:tcMar>
            <w:vAlign w:val="center"/>
          </w:tcPr>
          <w:p>
            <w:pPr>
              <w:spacing w:after="20" w:line="264" w:lineRule="auto"/>
            </w:pPr>
            <w:r>
              <w:rPr>
                <w:rFonts w:ascii="Calibri" w:hAnsi="Calibri"/>
                <w:color w:val="0B2545"/>
                <w:sz w:val="19"/>
              </w:rPr>
              <w:t>Necessities or high-consequence obligations are not fully covered.</w:t>
            </w:r>
          </w:p>
        </w:tc>
        <w:tc>
          <w:tcPr>
            <w:tcW w:type="dxa" w:w="3888"/>
            <w:tcMar>
              <w:top w:w="80" w:type="dxa"/>
              <w:start w:w="120" w:type="dxa"/>
              <w:bottom w:w="80" w:type="dxa"/>
              <w:end w:w="120" w:type="dxa"/>
            </w:tcMar>
            <w:vAlign w:val="center"/>
          </w:tcPr>
          <w:p>
            <w:pPr>
              <w:spacing w:after="20" w:line="264" w:lineRule="auto"/>
            </w:pPr>
            <w:r>
              <w:rPr>
                <w:rFonts w:ascii="Calibri" w:hAnsi="Calibri"/>
                <w:color w:val="0B2545"/>
                <w:sz w:val="19"/>
              </w:rPr>
              <w:t>Prevent the next serious loss and get qualified help early.</w:t>
            </w:r>
          </w:p>
        </w:tc>
      </w:tr>
      <w:tr>
        <w:trPr>
          <w:cantSplit/>
        </w:trPr>
        <w:tc>
          <w:tcPr>
            <w:tcW w:type="dxa" w:w="1440"/>
            <w:tcMar>
              <w:top w:w="80" w:type="dxa"/>
              <w:start w:w="120" w:type="dxa"/>
              <w:bottom w:w="80" w:type="dxa"/>
              <w:end w:w="120" w:type="dxa"/>
            </w:tcMar>
            <w:vAlign w:val="center"/>
          </w:tcPr>
          <w:p>
            <w:pPr>
              <w:spacing w:after="20" w:line="264" w:lineRule="auto"/>
            </w:pPr>
            <w:r>
              <w:rPr>
                <w:rFonts w:ascii="Calibri" w:hAnsi="Calibri"/>
                <w:color w:val="0B2545"/>
                <w:sz w:val="19"/>
              </w:rPr>
              <w:t>Stability</w:t>
            </w:r>
          </w:p>
        </w:tc>
        <w:tc>
          <w:tcPr>
            <w:tcW w:type="dxa" w:w="4032"/>
            <w:tcMar>
              <w:top w:w="80" w:type="dxa"/>
              <w:start w:w="120" w:type="dxa"/>
              <w:bottom w:w="80" w:type="dxa"/>
              <w:end w:w="120" w:type="dxa"/>
            </w:tcMar>
            <w:vAlign w:val="center"/>
          </w:tcPr>
          <w:p>
            <w:pPr>
              <w:spacing w:after="20" w:line="264" w:lineRule="auto"/>
            </w:pPr>
            <w:r>
              <w:rPr>
                <w:rFonts w:ascii="Calibri" w:hAnsi="Calibri"/>
                <w:color w:val="0B2545"/>
                <w:sz w:val="19"/>
              </w:rPr>
              <w:t>Necessities are current, but one disruption could undo progress.</w:t>
            </w:r>
          </w:p>
        </w:tc>
        <w:tc>
          <w:tcPr>
            <w:tcW w:type="dxa" w:w="3888"/>
            <w:tcMar>
              <w:top w:w="80" w:type="dxa"/>
              <w:start w:w="120" w:type="dxa"/>
              <w:bottom w:w="80" w:type="dxa"/>
              <w:end w:w="120" w:type="dxa"/>
            </w:tcMar>
            <w:vAlign w:val="center"/>
          </w:tcPr>
          <w:p>
            <w:pPr>
              <w:spacing w:after="20" w:line="264" w:lineRule="auto"/>
            </w:pPr>
            <w:r>
              <w:rPr>
                <w:rFonts w:ascii="Calibri" w:hAnsi="Calibri"/>
                <w:color w:val="0B2545"/>
                <w:sz w:val="19"/>
              </w:rPr>
              <w:t>Create breathing room and make the month predictable.</w:t>
            </w:r>
          </w:p>
        </w:tc>
      </w:tr>
      <w:tr>
        <w:trPr>
          <w:cantSplit/>
        </w:trPr>
        <w:tc>
          <w:tcPr>
            <w:tcW w:type="dxa" w:w="1440"/>
            <w:tcMar>
              <w:top w:w="80" w:type="dxa"/>
              <w:start w:w="120" w:type="dxa"/>
              <w:bottom w:w="80" w:type="dxa"/>
              <w:end w:w="120" w:type="dxa"/>
            </w:tcMar>
            <w:vAlign w:val="center"/>
          </w:tcPr>
          <w:p>
            <w:pPr>
              <w:spacing w:after="20" w:line="264" w:lineRule="auto"/>
            </w:pPr>
            <w:r>
              <w:rPr>
                <w:rFonts w:ascii="Calibri" w:hAnsi="Calibri"/>
                <w:color w:val="0B2545"/>
                <w:sz w:val="19"/>
              </w:rPr>
              <w:t>Growth</w:t>
            </w:r>
          </w:p>
        </w:tc>
        <w:tc>
          <w:tcPr>
            <w:tcW w:type="dxa" w:w="4032"/>
            <w:tcMar>
              <w:top w:w="80" w:type="dxa"/>
              <w:start w:w="120" w:type="dxa"/>
              <w:bottom w:w="80" w:type="dxa"/>
              <w:end w:w="120" w:type="dxa"/>
            </w:tcMar>
            <w:vAlign w:val="center"/>
          </w:tcPr>
          <w:p>
            <w:pPr>
              <w:spacing w:after="20" w:line="264" w:lineRule="auto"/>
            </w:pPr>
            <w:r>
              <w:rPr>
                <w:rFonts w:ascii="Calibri" w:hAnsi="Calibri"/>
                <w:color w:val="0B2545"/>
                <w:sz w:val="19"/>
              </w:rPr>
              <w:t>A regular surplus can reduce debt, build cash, or acquire assets.</w:t>
            </w:r>
          </w:p>
        </w:tc>
        <w:tc>
          <w:tcPr>
            <w:tcW w:type="dxa" w:w="3888"/>
            <w:tcMar>
              <w:top w:w="80" w:type="dxa"/>
              <w:start w:w="120" w:type="dxa"/>
              <w:bottom w:w="80" w:type="dxa"/>
              <w:end w:w="120" w:type="dxa"/>
            </w:tcMar>
            <w:vAlign w:val="center"/>
          </w:tcPr>
          <w:p>
            <w:pPr>
              <w:spacing w:after="20" w:line="264" w:lineRule="auto"/>
            </w:pPr>
            <w:r>
              <w:rPr>
                <w:rFonts w:ascii="Calibri" w:hAnsi="Calibri"/>
                <w:color w:val="0B2545"/>
                <w:sz w:val="19"/>
              </w:rPr>
              <w:t>Direct the surplus instead of letting lifestyle expand first.</w:t>
            </w:r>
          </w:p>
        </w:tc>
      </w:tr>
      <w:tr>
        <w:trPr>
          <w:cantSplit/>
        </w:trPr>
        <w:tc>
          <w:tcPr>
            <w:tcW w:type="dxa" w:w="1440"/>
            <w:tcMar>
              <w:top w:w="80" w:type="dxa"/>
              <w:start w:w="120" w:type="dxa"/>
              <w:bottom w:w="80" w:type="dxa"/>
              <w:end w:w="120" w:type="dxa"/>
            </w:tcMar>
            <w:vAlign w:val="center"/>
          </w:tcPr>
          <w:p>
            <w:pPr>
              <w:spacing w:after="20" w:line="264" w:lineRule="auto"/>
            </w:pPr>
            <w:r>
              <w:rPr>
                <w:rFonts w:ascii="Calibri" w:hAnsi="Calibri"/>
                <w:color w:val="0B2545"/>
                <w:sz w:val="19"/>
              </w:rPr>
              <w:t>Legacy</w:t>
            </w:r>
          </w:p>
        </w:tc>
        <w:tc>
          <w:tcPr>
            <w:tcW w:type="dxa" w:w="4032"/>
            <w:tcMar>
              <w:top w:w="80" w:type="dxa"/>
              <w:start w:w="120" w:type="dxa"/>
              <w:bottom w:w="80" w:type="dxa"/>
              <w:end w:w="120" w:type="dxa"/>
            </w:tcMar>
            <w:vAlign w:val="center"/>
          </w:tcPr>
          <w:p>
            <w:pPr>
              <w:spacing w:after="20" w:line="264" w:lineRule="auto"/>
            </w:pPr>
            <w:r>
              <w:rPr>
                <w:rFonts w:ascii="Calibri" w:hAnsi="Calibri"/>
                <w:color w:val="0B2545"/>
                <w:sz w:val="19"/>
              </w:rPr>
              <w:t>Assets and income need protection, purpose, and a transfer plan.</w:t>
            </w:r>
          </w:p>
        </w:tc>
        <w:tc>
          <w:tcPr>
            <w:tcW w:type="dxa" w:w="3888"/>
            <w:tcMar>
              <w:top w:w="80" w:type="dxa"/>
              <w:start w:w="120" w:type="dxa"/>
              <w:bottom w:w="80" w:type="dxa"/>
              <w:end w:w="120" w:type="dxa"/>
            </w:tcMar>
            <w:vAlign w:val="center"/>
          </w:tcPr>
          <w:p>
            <w:pPr>
              <w:spacing w:after="20" w:line="264" w:lineRule="auto"/>
            </w:pPr>
            <w:r>
              <w:rPr>
                <w:rFonts w:ascii="Calibri" w:hAnsi="Calibri"/>
                <w:color w:val="0B2545"/>
                <w:sz w:val="19"/>
              </w:rPr>
              <w:t>Preserve what has been built and prepare others to carry it forward.</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PATH RULE  </w:t>
            </w:r>
            <w:r>
              <w:rPr>
                <w:rFonts w:ascii="Calibri" w:hAnsi="Calibri"/>
                <w:b/>
                <w:color w:val="0B2545"/>
                <w:sz w:val="22"/>
              </w:rPr>
              <w:t>A path is not a grade or a permanent identity. Move to the row that fits your actual circumstances whenever income, health, housing, work, or family changes.</w:t>
            </w:r>
          </w:p>
        </w:tc>
      </w:tr>
    </w:tbl>
    <w:p>
      <w:pPr>
        <w:spacing w:after="0"/>
      </w:pPr>
    </w:p>
    <w:p>
      <w:pPr>
        <w:pStyle w:val="Heading2"/>
        <w:keepNext/>
      </w:pPr>
      <w:r>
        <w:t>When the problem is a structural shortfall</w:t>
      </w:r>
    </w:p>
    <w:p>
      <w:pPr>
        <w:spacing w:before="0" w:after="120" w:line="300" w:lineRule="auto"/>
      </w:pPr>
      <w:r>
        <w:rPr>
          <w:rFonts w:ascii="Calibri" w:hAnsi="Calibri"/>
          <w:i w:val="0"/>
          <w:color w:val="0B2545"/>
          <w:sz w:val="22"/>
        </w:rPr>
        <w:t>If dependable income cannot cover basic necessities even after reasonable cuts, the answer is not shame and it is not pretending that coffee or one restaurant meal caused the gap. Protect the highest-consequence needs, contact providers and creditors early, check benefits and tax withholding, seek free or qualified help, and pursue safe income improvements. Do not use payday loans, title loans, overdrafts, credit cards, or buy-now-pay-later plans to hide a continuing shortfall.</w:t>
      </w:r>
    </w:p>
    <w:p>
      <w:pPr>
        <w:pStyle w:val="Heading1"/>
        <w:keepNext/>
      </w:pPr>
      <w:r>
        <w:t>The six households</w:t>
      </w:r>
    </w:p>
    <w:p>
      <w:pPr>
        <w:spacing w:before="0" w:after="120" w:line="300" w:lineRule="auto"/>
      </w:pPr>
      <w:r>
        <w:rPr>
          <w:rFonts w:ascii="Calibri" w:hAnsi="Calibri"/>
          <w:i w:val="0"/>
          <w:color w:val="0B2545"/>
          <w:sz w:val="22"/>
        </w:rPr>
        <w:t>These fictional households appear throughout the course. Their numbers are illustrations, not promises or targets.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736"/>
        <w:gridCol w:w="6624"/>
      </w:tblGrid>
      <w:tr>
        <w:trPr>
          <w:tblHeader w:val="true"/>
          <w:cantSplit/>
        </w:trPr>
        <w:tc>
          <w:tcPr>
            <w:tcW w:type="dxa" w:w="2736"/>
            <w:shd w:fill="E8EEF5"/>
            <w:tcMar>
              <w:top w:w="80" w:type="dxa"/>
              <w:start w:w="120" w:type="dxa"/>
              <w:bottom w:w="80" w:type="dxa"/>
              <w:end w:w="120" w:type="dxa"/>
            </w:tcMar>
            <w:vAlign w:val="center"/>
          </w:tcPr>
          <w:p>
            <w:pPr>
              <w:jc w:val="left"/>
            </w:pPr>
            <w:r>
              <w:rPr>
                <w:rFonts w:ascii="Calibri" w:hAnsi="Calibri"/>
                <w:b/>
                <w:color w:val="0B2545"/>
                <w:sz w:val="20"/>
              </w:rPr>
              <w:t>Household</w:t>
            </w:r>
          </w:p>
        </w:tc>
        <w:tc>
          <w:tcPr>
            <w:tcW w:type="dxa" w:w="6624"/>
            <w:shd w:fill="E8EEF5"/>
            <w:tcMar>
              <w:top w:w="80" w:type="dxa"/>
              <w:start w:w="120" w:type="dxa"/>
              <w:bottom w:w="80" w:type="dxa"/>
              <w:end w:w="120" w:type="dxa"/>
            </w:tcMar>
            <w:vAlign w:val="center"/>
          </w:tcPr>
          <w:p>
            <w:pPr>
              <w:jc w:val="left"/>
            </w:pPr>
            <w:r>
              <w:rPr>
                <w:rFonts w:ascii="Calibri" w:hAnsi="Calibri"/>
                <w:b/>
                <w:color w:val="0B2545"/>
                <w:sz w:val="20"/>
              </w:rPr>
              <w:t>Starting situation</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Maya, 20</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 community-college student working irregular part-time hours, sharing housing, and planning for school costs and a first apartment.</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Nina and Carlos, 27 and 29</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 new couple building one household while carrying student, vehicle, and credit-card debt.</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James, 50</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 full-time retail department supervisor with modest savings, an expensive truck, credit-card debt, and a late retirement start.</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Denise, 43</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 single parent rebuilding after a major life change while managing variable overtime, child costs, and account security.</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Jordan, 36</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An hourly worker and family caregiver whose basic necessities exceed dependable income despite having no car payment and rarely eating out.</w:t>
            </w:r>
          </w:p>
        </w:tc>
      </w:tr>
      <w:tr>
        <w:trPr>
          <w:cantSplit/>
        </w:trPr>
        <w:tc>
          <w:tcPr>
            <w:tcW w:type="dxa" w:w="2736"/>
            <w:tcMar>
              <w:top w:w="80" w:type="dxa"/>
              <w:start w:w="120" w:type="dxa"/>
              <w:bottom w:w="80" w:type="dxa"/>
              <w:end w:w="120" w:type="dxa"/>
            </w:tcMar>
            <w:vAlign w:val="center"/>
          </w:tcPr>
          <w:p>
            <w:pPr>
              <w:spacing w:after="20" w:line="264" w:lineRule="auto"/>
            </w:pPr>
            <w:r>
              <w:rPr>
                <w:rFonts w:ascii="Calibri" w:hAnsi="Calibri"/>
                <w:color w:val="0B2545"/>
                <w:sz w:val="20"/>
              </w:rPr>
              <w:t>Evelyn, 69</w:t>
            </w:r>
          </w:p>
        </w:tc>
        <w:tc>
          <w:tcPr>
            <w:tcW w:type="dxa" w:w="6624"/>
            <w:tcMar>
              <w:top w:w="80" w:type="dxa"/>
              <w:start w:w="120" w:type="dxa"/>
              <w:bottom w:w="80" w:type="dxa"/>
              <w:end w:w="120" w:type="dxa"/>
            </w:tcMar>
            <w:vAlign w:val="center"/>
          </w:tcPr>
          <w:p>
            <w:pPr>
              <w:spacing w:after="20" w:line="264" w:lineRule="auto"/>
            </w:pPr>
            <w:r>
              <w:rPr>
                <w:rFonts w:ascii="Calibri" w:hAnsi="Calibri"/>
                <w:color w:val="0B2545"/>
                <w:sz w:val="20"/>
              </w:rPr>
              <w:t>A retiree living on Social Security and a small pension while managing health costs, transportation, an older home, fraud risk, and important documents.</w:t>
            </w:r>
          </w:p>
        </w:tc>
      </w:tr>
    </w:tbl>
    <w:p>
      <w:pPr>
        <w:spacing w:after="0"/>
      </w:pPr>
    </w:p>
    <w:p>
      <w:pPr>
        <w:pStyle w:val="Heading1"/>
        <w:keepNext/>
      </w:pPr>
      <w:r>
        <w:t>Course language</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448"/>
        <w:gridCol w:w="6912"/>
      </w:tblGrid>
      <w:tr>
        <w:trPr>
          <w:tblHeader w:val="true"/>
          <w:cantSplit/>
        </w:trPr>
        <w:tc>
          <w:tcPr>
            <w:tcW w:type="dxa" w:w="2448"/>
            <w:shd w:fill="E8EEF5"/>
            <w:tcMar>
              <w:top w:w="80" w:type="dxa"/>
              <w:start w:w="120" w:type="dxa"/>
              <w:bottom w:w="80" w:type="dxa"/>
              <w:end w:w="120" w:type="dxa"/>
            </w:tcMar>
            <w:vAlign w:val="center"/>
          </w:tcPr>
          <w:p>
            <w:pPr>
              <w:jc w:val="left"/>
            </w:pPr>
            <w:r>
              <w:rPr>
                <w:rFonts w:ascii="Calibri" w:hAnsi="Calibri"/>
                <w:b/>
                <w:color w:val="0B2545"/>
                <w:sz w:val="19"/>
              </w:rPr>
              <w:t>Term</w:t>
            </w:r>
          </w:p>
        </w:tc>
        <w:tc>
          <w:tcPr>
            <w:tcW w:type="dxa" w:w="6912"/>
            <w:shd w:fill="E8EEF5"/>
            <w:tcMar>
              <w:top w:w="80" w:type="dxa"/>
              <w:start w:w="120" w:type="dxa"/>
              <w:bottom w:w="80" w:type="dxa"/>
              <w:end w:w="120" w:type="dxa"/>
            </w:tcMar>
            <w:vAlign w:val="center"/>
          </w:tcPr>
          <w:p>
            <w:pPr>
              <w:jc w:val="left"/>
            </w:pPr>
            <w:r>
              <w:rPr>
                <w:rFonts w:ascii="Calibri" w:hAnsi="Calibri"/>
                <w:b/>
                <w:color w:val="0B2545"/>
                <w:sz w:val="19"/>
              </w:rPr>
              <w:t>Meaning</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Monthly Essential-Cost Total</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The minimum monthly cost of food, shelter, essential utilities, medicine, essential insurance, basic transportation, and high-consequence obligations.</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Cash-Flow Calendar</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A day-by-day view of when income arrives and bills leave.</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Paycheck Allocation Plan</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The written order in which available money is assigned.</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Planned Fun Money</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A separate, pre-funded cash, debit, or prepaid balance for wants and enjoyment.</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Planned-Expense Reserve</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Money for predictable nonmonthly costs such as tires, tuition, holidays, or annual premiums.</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Emergency-Savings Milestones</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Personalized emergency-cash targets rather than one universal amount.</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Debt-Payment Priority Review</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Ordering obligations by immediate consequence, legal status, and cost.</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Large-Purchase Affordability Review</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The complete-cost and affordability review finished before a vehicle or other major purchase.</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Financial Safeguards Review</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Insurance, beneficiaries, titles, key documents, fraud protection, and emergency instructions.</w:t>
            </w:r>
          </w:p>
        </w:tc>
      </w:tr>
      <w:tr>
        <w:trPr>
          <w:cantSplit/>
        </w:trPr>
        <w:tc>
          <w:tcPr>
            <w:tcW w:type="dxa" w:w="2448"/>
            <w:tcMar>
              <w:top w:w="80" w:type="dxa"/>
              <w:start w:w="120" w:type="dxa"/>
              <w:bottom w:w="80" w:type="dxa"/>
              <w:end w:w="120" w:type="dxa"/>
            </w:tcMar>
            <w:vAlign w:val="center"/>
          </w:tcPr>
          <w:p>
            <w:pPr>
              <w:spacing w:after="20" w:line="264" w:lineRule="auto"/>
            </w:pPr>
            <w:r>
              <w:rPr>
                <w:rFonts w:ascii="Calibri" w:hAnsi="Calibri"/>
                <w:color w:val="0B2545"/>
                <w:sz w:val="19"/>
              </w:rPr>
              <w:t>Action Plan</w:t>
            </w:r>
          </w:p>
        </w:tc>
        <w:tc>
          <w:tcPr>
            <w:tcW w:type="dxa" w:w="6912"/>
            <w:tcMar>
              <w:top w:w="80" w:type="dxa"/>
              <w:start w:w="120" w:type="dxa"/>
              <w:bottom w:w="80" w:type="dxa"/>
              <w:end w:w="120" w:type="dxa"/>
            </w:tcMar>
            <w:vAlign w:val="center"/>
          </w:tcPr>
          <w:p>
            <w:pPr>
              <w:spacing w:after="20" w:line="264" w:lineRule="auto"/>
            </w:pPr>
            <w:r>
              <w:rPr>
                <w:rFonts w:ascii="Calibri" w:hAnsi="Calibri"/>
                <w:color w:val="0B2545"/>
                <w:sz w:val="19"/>
              </w:rPr>
              <w:t>The one-page capstone showing obligations, priorities, accounts, and 30-, 90-, 365-day, and five-year actions.</w:t>
            </w:r>
          </w:p>
        </w:tc>
      </w:tr>
    </w:tbl>
    <w:p>
      <w:pPr>
        <w:spacing w:after="0"/>
      </w:pPr>
    </w:p>
    <w:p>
      <w:pPr>
        <w:pStyle w:val="Heading1"/>
        <w:keepNext/>
      </w:pPr>
      <w:r>
        <w:t>How to teach each 75-minute session</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800"/>
        <w:gridCol w:w="7560"/>
      </w:tblGrid>
      <w:tr>
        <w:trPr>
          <w:tblHeader w:val="true"/>
          <w:cantSplit/>
        </w:trPr>
        <w:tc>
          <w:tcPr>
            <w:tcW w:type="dxa" w:w="1800"/>
            <w:shd w:fill="E8EEF5"/>
            <w:tcMar>
              <w:top w:w="80" w:type="dxa"/>
              <w:start w:w="120" w:type="dxa"/>
              <w:bottom w:w="80" w:type="dxa"/>
              <w:end w:w="120" w:type="dxa"/>
            </w:tcMar>
            <w:vAlign w:val="center"/>
          </w:tcPr>
          <w:p>
            <w:pPr>
              <w:jc w:val="center"/>
            </w:pPr>
            <w:r>
              <w:rPr>
                <w:rFonts w:ascii="Calibri" w:hAnsi="Calibri"/>
                <w:b/>
                <w:color w:val="0B2545"/>
                <w:sz w:val="20"/>
              </w:rPr>
              <w:t>Time</w:t>
            </w:r>
          </w:p>
        </w:tc>
        <w:tc>
          <w:tcPr>
            <w:tcW w:type="dxa" w:w="7560"/>
            <w:shd w:fill="E8EEF5"/>
            <w:tcMar>
              <w:top w:w="80" w:type="dxa"/>
              <w:start w:w="120" w:type="dxa"/>
              <w:bottom w:w="80" w:type="dxa"/>
              <w:end w:w="120" w:type="dxa"/>
            </w:tcMar>
            <w:vAlign w:val="center"/>
          </w:tcPr>
          <w:p>
            <w:pPr>
              <w:jc w:val="left"/>
            </w:pPr>
            <w:r>
              <w:rPr>
                <w:rFonts w:ascii="Calibri" w:hAnsi="Calibri"/>
                <w:b/>
                <w:color w:val="0B2545"/>
                <w:sz w:val="20"/>
              </w:rPr>
              <w:t>Activity</w:t>
            </w:r>
          </w:p>
        </w:tc>
      </w:tr>
      <w:tr>
        <w:trPr>
          <w:cantSplit/>
        </w:trPr>
        <w:tc>
          <w:tcPr>
            <w:tcW w:type="dxa" w:w="1800"/>
            <w:tcMar>
              <w:top w:w="80" w:type="dxa"/>
              <w:start w:w="120" w:type="dxa"/>
              <w:bottom w:w="80" w:type="dxa"/>
              <w:end w:w="120" w:type="dxa"/>
            </w:tcMar>
            <w:vAlign w:val="center"/>
          </w:tcPr>
          <w:p>
            <w:pPr>
              <w:spacing w:after="20" w:line="264" w:lineRule="auto"/>
              <w:jc w:val="center"/>
            </w:pPr>
            <w:r>
              <w:rPr>
                <w:rFonts w:ascii="Calibri" w:hAnsi="Calibri"/>
                <w:color w:val="0B2545"/>
                <w:sz w:val="20"/>
              </w:rPr>
              <w:t>10 minutes</w:t>
            </w:r>
          </w:p>
        </w:tc>
        <w:tc>
          <w:tcPr>
            <w:tcW w:type="dxa" w:w="7560"/>
            <w:tcMar>
              <w:top w:w="80" w:type="dxa"/>
              <w:start w:w="120" w:type="dxa"/>
              <w:bottom w:w="80" w:type="dxa"/>
              <w:end w:w="120" w:type="dxa"/>
            </w:tcMar>
            <w:vAlign w:val="center"/>
          </w:tcPr>
          <w:p>
            <w:pPr>
              <w:spacing w:after="20" w:line="264" w:lineRule="auto"/>
            </w:pPr>
            <w:r>
              <w:rPr>
                <w:rFonts w:ascii="Calibri" w:hAnsi="Calibri"/>
                <w:color w:val="0B2545"/>
                <w:sz w:val="20"/>
              </w:rPr>
              <w:t>Private check-in and last action</w:t>
            </w:r>
          </w:p>
        </w:tc>
      </w:tr>
      <w:tr>
        <w:trPr>
          <w:cantSplit/>
        </w:trPr>
        <w:tc>
          <w:tcPr>
            <w:tcW w:type="dxa" w:w="1800"/>
            <w:tcMar>
              <w:top w:w="80" w:type="dxa"/>
              <w:start w:w="120" w:type="dxa"/>
              <w:bottom w:w="80" w:type="dxa"/>
              <w:end w:w="120" w:type="dxa"/>
            </w:tcMar>
            <w:vAlign w:val="center"/>
          </w:tcPr>
          <w:p>
            <w:pPr>
              <w:spacing w:after="20" w:line="264" w:lineRule="auto"/>
              <w:jc w:val="center"/>
            </w:pPr>
            <w:r>
              <w:rPr>
                <w:rFonts w:ascii="Calibri" w:hAnsi="Calibri"/>
                <w:color w:val="0B2545"/>
                <w:sz w:val="20"/>
              </w:rPr>
              <w:t>15 minutes</w:t>
            </w:r>
          </w:p>
        </w:tc>
        <w:tc>
          <w:tcPr>
            <w:tcW w:type="dxa" w:w="7560"/>
            <w:tcMar>
              <w:top w:w="80" w:type="dxa"/>
              <w:start w:w="120" w:type="dxa"/>
              <w:bottom w:w="80" w:type="dxa"/>
              <w:end w:w="120" w:type="dxa"/>
            </w:tcMar>
            <w:vAlign w:val="center"/>
          </w:tcPr>
          <w:p>
            <w:pPr>
              <w:spacing w:after="20" w:line="264" w:lineRule="auto"/>
            </w:pPr>
            <w:r>
              <w:rPr>
                <w:rFonts w:ascii="Calibri" w:hAnsi="Calibri"/>
                <w:color w:val="0B2545"/>
                <w:sz w:val="20"/>
              </w:rPr>
              <w:t>Explain the problem and governing principle</w:t>
            </w:r>
          </w:p>
        </w:tc>
      </w:tr>
      <w:tr>
        <w:trPr>
          <w:cantSplit/>
        </w:trPr>
        <w:tc>
          <w:tcPr>
            <w:tcW w:type="dxa" w:w="1800"/>
            <w:tcMar>
              <w:top w:w="80" w:type="dxa"/>
              <w:start w:w="120" w:type="dxa"/>
              <w:bottom w:w="80" w:type="dxa"/>
              <w:end w:w="120" w:type="dxa"/>
            </w:tcMar>
            <w:vAlign w:val="center"/>
          </w:tcPr>
          <w:p>
            <w:pPr>
              <w:spacing w:after="20" w:line="264" w:lineRule="auto"/>
              <w:jc w:val="center"/>
            </w:pPr>
            <w:r>
              <w:rPr>
                <w:rFonts w:ascii="Calibri" w:hAnsi="Calibri"/>
                <w:color w:val="0B2545"/>
                <w:sz w:val="20"/>
              </w:rPr>
              <w:t>15 minutes</w:t>
            </w:r>
          </w:p>
        </w:tc>
        <w:tc>
          <w:tcPr>
            <w:tcW w:type="dxa" w:w="7560"/>
            <w:tcMar>
              <w:top w:w="80" w:type="dxa"/>
              <w:start w:w="120" w:type="dxa"/>
              <w:bottom w:w="80" w:type="dxa"/>
              <w:end w:w="120" w:type="dxa"/>
            </w:tcMar>
            <w:vAlign w:val="center"/>
          </w:tcPr>
          <w:p>
            <w:pPr>
              <w:spacing w:after="20" w:line="264" w:lineRule="auto"/>
            </w:pPr>
            <w:r>
              <w:rPr>
                <w:rFonts w:ascii="Calibri" w:hAnsi="Calibri"/>
                <w:color w:val="0B2545"/>
                <w:sz w:val="20"/>
              </w:rPr>
              <w:t>Work through fictional household examples</w:t>
            </w:r>
          </w:p>
        </w:tc>
      </w:tr>
      <w:tr>
        <w:trPr>
          <w:cantSplit/>
        </w:trPr>
        <w:tc>
          <w:tcPr>
            <w:tcW w:type="dxa" w:w="1800"/>
            <w:tcMar>
              <w:top w:w="80" w:type="dxa"/>
              <w:start w:w="120" w:type="dxa"/>
              <w:bottom w:w="80" w:type="dxa"/>
              <w:end w:w="120" w:type="dxa"/>
            </w:tcMar>
            <w:vAlign w:val="center"/>
          </w:tcPr>
          <w:p>
            <w:pPr>
              <w:spacing w:after="20" w:line="264" w:lineRule="auto"/>
              <w:jc w:val="center"/>
            </w:pPr>
            <w:r>
              <w:rPr>
                <w:rFonts w:ascii="Calibri" w:hAnsi="Calibri"/>
                <w:color w:val="0B2545"/>
                <w:sz w:val="20"/>
              </w:rPr>
              <w:t>25 minutes</w:t>
            </w:r>
          </w:p>
        </w:tc>
        <w:tc>
          <w:tcPr>
            <w:tcW w:type="dxa" w:w="7560"/>
            <w:tcMar>
              <w:top w:w="80" w:type="dxa"/>
              <w:start w:w="120" w:type="dxa"/>
              <w:bottom w:w="80" w:type="dxa"/>
              <w:end w:w="120" w:type="dxa"/>
            </w:tcMar>
            <w:vAlign w:val="center"/>
          </w:tcPr>
          <w:p>
            <w:pPr>
              <w:spacing w:after="20" w:line="264" w:lineRule="auto"/>
            </w:pPr>
            <w:r>
              <w:rPr>
                <w:rFonts w:ascii="Calibri" w:hAnsi="Calibri"/>
                <w:color w:val="0B2545"/>
                <w:sz w:val="20"/>
              </w:rPr>
              <w:t>Complete the private worksheet</w:t>
            </w:r>
          </w:p>
        </w:tc>
      </w:tr>
      <w:tr>
        <w:trPr>
          <w:cantSplit/>
        </w:trPr>
        <w:tc>
          <w:tcPr>
            <w:tcW w:type="dxa" w:w="1800"/>
            <w:tcMar>
              <w:top w:w="80" w:type="dxa"/>
              <w:start w:w="120" w:type="dxa"/>
              <w:bottom w:w="80" w:type="dxa"/>
              <w:end w:w="120" w:type="dxa"/>
            </w:tcMar>
            <w:vAlign w:val="center"/>
          </w:tcPr>
          <w:p>
            <w:pPr>
              <w:spacing w:after="20" w:line="264" w:lineRule="auto"/>
              <w:jc w:val="center"/>
            </w:pPr>
            <w:r>
              <w:rPr>
                <w:rFonts w:ascii="Calibri" w:hAnsi="Calibri"/>
                <w:color w:val="0B2545"/>
                <w:sz w:val="20"/>
              </w:rPr>
              <w:t>10 minutes</w:t>
            </w:r>
          </w:p>
        </w:tc>
        <w:tc>
          <w:tcPr>
            <w:tcW w:type="dxa" w:w="7560"/>
            <w:tcMar>
              <w:top w:w="80" w:type="dxa"/>
              <w:start w:w="120" w:type="dxa"/>
              <w:bottom w:w="80" w:type="dxa"/>
              <w:end w:w="120" w:type="dxa"/>
            </w:tcMar>
            <w:vAlign w:val="center"/>
          </w:tcPr>
          <w:p>
            <w:pPr>
              <w:spacing w:after="20" w:line="264" w:lineRule="auto"/>
            </w:pPr>
            <w:r>
              <w:rPr>
                <w:rFonts w:ascii="Calibri" w:hAnsi="Calibri"/>
                <w:color w:val="0B2545"/>
                <w:sz w:val="20"/>
              </w:rPr>
              <w:t>Choose one next-payday action and deadline</w:t>
            </w:r>
          </w:p>
        </w:tc>
      </w:tr>
    </w:tbl>
    <w:p>
      <w:pPr>
        <w:spacing w:after="0"/>
      </w:pPr>
    </w:p>
    <w:p>
      <w:pPr>
        <w:spacing w:before="0" w:after="120" w:line="300" w:lineRule="auto"/>
      </w:pPr>
      <w:r>
        <w:rPr>
          <w:rFonts w:ascii="Calibri" w:hAnsi="Calibri"/>
          <w:i/>
          <w:color w:val="5B6573"/>
          <w:sz w:val="22"/>
        </w:rPr>
        <w:t>Facilitator rule: teach decisions, not disclosure. Participants may discuss the fictional examples and keep their own numbers private. A person can graduate with a shortfall if the required decisions and actions are complete.</w:t>
      </w:r>
    </w:p>
    <w:p>
      <w:pPr>
        <w:pStyle w:val="Heading1"/>
        <w:keepNext/>
      </w:pPr>
      <w:r>
        <w:t>Course contents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080"/>
        <w:gridCol w:w="4824"/>
        <w:gridCol w:w="3456"/>
      </w:tblGrid>
      <w:tr>
        <w:trPr>
          <w:tblHeader w:val="true"/>
          <w:cantSplit/>
        </w:trPr>
        <w:tc>
          <w:tcPr>
            <w:tcW w:type="dxa" w:w="1080"/>
            <w:shd w:fill="E8EEF5"/>
            <w:tcMar>
              <w:top w:w="80" w:type="dxa"/>
              <w:start w:w="120" w:type="dxa"/>
              <w:bottom w:w="80" w:type="dxa"/>
              <w:end w:w="120" w:type="dxa"/>
            </w:tcMar>
            <w:vAlign w:val="center"/>
          </w:tcPr>
          <w:p>
            <w:pPr>
              <w:jc w:val="center"/>
            </w:pPr>
            <w:r>
              <w:rPr>
                <w:rFonts w:ascii="Calibri" w:hAnsi="Calibri"/>
                <w:b/>
                <w:color w:val="0B2545"/>
                <w:sz w:val="19"/>
              </w:rPr>
              <w:t>Session</w:t>
            </w:r>
          </w:p>
        </w:tc>
        <w:tc>
          <w:tcPr>
            <w:tcW w:type="dxa" w:w="4824"/>
            <w:shd w:fill="E8EEF5"/>
            <w:tcMar>
              <w:top w:w="80" w:type="dxa"/>
              <w:start w:w="120" w:type="dxa"/>
              <w:bottom w:w="80" w:type="dxa"/>
              <w:end w:w="120" w:type="dxa"/>
            </w:tcMar>
            <w:vAlign w:val="center"/>
          </w:tcPr>
          <w:p>
            <w:pPr>
              <w:jc w:val="left"/>
            </w:pPr>
            <w:r>
              <w:rPr>
                <w:rFonts w:ascii="Calibri" w:hAnsi="Calibri"/>
                <w:b/>
                <w:color w:val="0B2545"/>
                <w:sz w:val="19"/>
              </w:rPr>
              <w:t>Chapter</w:t>
            </w:r>
          </w:p>
        </w:tc>
        <w:tc>
          <w:tcPr>
            <w:tcW w:type="dxa" w:w="3456"/>
            <w:shd w:fill="E8EEF5"/>
            <w:tcMar>
              <w:top w:w="80" w:type="dxa"/>
              <w:start w:w="120" w:type="dxa"/>
              <w:bottom w:w="80" w:type="dxa"/>
              <w:end w:w="120" w:type="dxa"/>
            </w:tcMar>
            <w:vAlign w:val="center"/>
          </w:tcPr>
          <w:p>
            <w:pPr>
              <w:jc w:val="left"/>
            </w:pPr>
            <w:r>
              <w:rPr>
                <w:rFonts w:ascii="Calibri" w:hAnsi="Calibri"/>
                <w:b/>
                <w:color w:val="0B2545"/>
                <w:sz w:val="19"/>
              </w:rPr>
              <w:t>Course part</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Face the Numbers Without Shame</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SEE AND DIRECT THE MONEY</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2</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Understand Income, Paychecks, and Benefits</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SEE AND DIRECT THE MONEY</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3</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Give Each Payday an Order</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SEE AND DIRECT THE MONEY</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4</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Enjoy Life Without Owing for It</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SEE AND DIRECT THE MONEY</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5</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Prepare for Future Costs and Unexpected Shocks</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STABILIZE AND REMOVE PRESSURE</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6</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Build a Debt Exit Plan</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STABILIZE AND REMOVE PRESSURE</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7</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Use Credit Without Depending on It</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STABILIZE AND REMOVE PRESSURE</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8</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Transportation: Buy the Ride, Not the Payment</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MAKE LARGE DECISIONS WELL</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9</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Control Housing, Food, and Recurring Costs</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MAKE LARGE DECISIONS WELL</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10</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Make Money Work Between People</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MAKE LARGE DECISIONS WELL</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11</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Protect What You Build and Pass It On</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PROTECT, BUILD, AND PASS IT ON</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12</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Stabilize Income and Direct Windfalls</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PROTECT, BUILD, AND PASS IT ON</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13</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Build Long-Term Assets</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PROTECT, BUILD, AND PASS IT ON</w:t>
            </w:r>
          </w:p>
        </w:tc>
      </w:tr>
      <w:tr>
        <w:trPr>
          <w:cantSplit/>
        </w:trPr>
        <w:tc>
          <w:tcPr>
            <w:tcW w:type="dxa" w:w="1080"/>
            <w:tcMar>
              <w:top w:w="80" w:type="dxa"/>
              <w:start w:w="120" w:type="dxa"/>
              <w:bottom w:w="80" w:type="dxa"/>
              <w:end w:w="120" w:type="dxa"/>
            </w:tcMar>
            <w:vAlign w:val="center"/>
          </w:tcPr>
          <w:p>
            <w:pPr>
              <w:spacing w:after="20" w:line="264" w:lineRule="auto"/>
              <w:jc w:val="center"/>
            </w:pPr>
            <w:r>
              <w:rPr>
                <w:rFonts w:ascii="Calibri" w:hAnsi="Calibri"/>
                <w:color w:val="0B2545"/>
                <w:sz w:val="19"/>
              </w:rPr>
              <w:t>14</w:t>
            </w:r>
          </w:p>
        </w:tc>
        <w:tc>
          <w:tcPr>
            <w:tcW w:type="dxa" w:w="4824"/>
            <w:tcMar>
              <w:top w:w="80" w:type="dxa"/>
              <w:start w:w="120" w:type="dxa"/>
              <w:bottom w:w="80" w:type="dxa"/>
              <w:end w:w="120" w:type="dxa"/>
            </w:tcMar>
            <w:vAlign w:val="center"/>
          </w:tcPr>
          <w:p>
            <w:pPr>
              <w:spacing w:after="20" w:line="264" w:lineRule="auto"/>
            </w:pPr>
            <w:r>
              <w:rPr>
                <w:rFonts w:ascii="Calibri" w:hAnsi="Calibri"/>
                <w:color w:val="0B2545"/>
                <w:sz w:val="19"/>
              </w:rPr>
              <w:t>Keep Control With a 30 / 90 / 365 Action Plan</w:t>
            </w:r>
          </w:p>
        </w:tc>
        <w:tc>
          <w:tcPr>
            <w:tcW w:type="dxa" w:w="3456"/>
            <w:tcMar>
              <w:top w:w="80" w:type="dxa"/>
              <w:start w:w="120" w:type="dxa"/>
              <w:bottom w:w="80" w:type="dxa"/>
              <w:end w:w="120" w:type="dxa"/>
            </w:tcMar>
            <w:vAlign w:val="center"/>
          </w:tcPr>
          <w:p>
            <w:pPr>
              <w:spacing w:after="20" w:line="264" w:lineRule="auto"/>
            </w:pPr>
            <w:r>
              <w:rPr>
                <w:rFonts w:ascii="Calibri" w:hAnsi="Calibri"/>
                <w:color w:val="0B2545"/>
                <w:sz w:val="19"/>
              </w:rPr>
              <w:t>PROTECT, BUILD, AND PASS IT ON</w:t>
            </w:r>
          </w:p>
        </w:tc>
      </w:tr>
    </w:tbl>
    <w:p>
      <w:pPr>
        <w:keepNext/>
        <w:pageBreakBefore/>
        <w:spacing w:before="0" w:after="60"/>
      </w:pPr>
      <w:r>
        <w:rPr>
          <w:rFonts w:ascii="Calibri" w:hAnsi="Calibri"/>
          <w:b/>
          <w:color w:val="7A5A00"/>
          <w:sz w:val="19"/>
        </w:rPr>
        <w:t>PART I - SEE AND DIRECT THE MONEY</w:t>
      </w:r>
    </w:p>
    <w:p>
      <w:pPr>
        <w:keepNext/>
        <w:pageBreakBefore w:val="0"/>
        <w:spacing w:before="0" w:after="60"/>
      </w:pPr>
      <w:r>
        <w:rPr>
          <w:rFonts w:ascii="Calibri" w:hAnsi="Calibri"/>
          <w:b/>
          <w:color w:val="7A5A00"/>
          <w:sz w:val="19"/>
        </w:rPr>
        <w:t>SESSION 1</w:t>
      </w:r>
    </w:p>
    <w:p>
      <w:pPr>
        <w:pStyle w:val="Heading1"/>
        <w:keepNext/>
      </w:pPr>
      <w:r>
        <w:t>Face the Numbers Without Shame</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Create a truthful starting-line snapshot and identify the first financial threat or opportunity.</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People often avoid statements, guess at balances, compare themselves with others, or confuse net worth with personal worth. Avoidance does not protect anyone; it merely gives fees, deadlines, and habits more time to grow.</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Facts create choices. Shame creates avoidance. Your numbers describe the starting point; they do not describe your value.</w:t>
            </w:r>
          </w:p>
        </w:tc>
      </w:tr>
    </w:tbl>
    <w:p>
      <w:pPr>
        <w:spacing w:after="0"/>
      </w:pPr>
    </w:p>
    <w:p>
      <w:pPr>
        <w:pStyle w:val="Heading2"/>
        <w:keepNext/>
      </w:pPr>
      <w:r>
        <w:t>How to solve the problem</w:t>
      </w:r>
    </w:p>
    <w:p>
      <w:pPr>
        <w:numPr>
          <w:ilvl w:val="0"/>
          <w:numId w:val="11"/>
        </w:numPr>
        <w:spacing w:before="0" w:after="80" w:line="300" w:lineRule="auto"/>
      </w:pPr>
      <w:r>
        <w:rPr>
          <w:rFonts w:ascii="Calibri" w:hAnsi="Calibri"/>
          <w:color w:val="0B2545"/>
          <w:sz w:val="22"/>
        </w:rPr>
        <w:t>Gather the most recent 60 to 90 days of bank, credit, loan, and pay records.</w:t>
      </w:r>
    </w:p>
    <w:p>
      <w:pPr>
        <w:numPr>
          <w:ilvl w:val="0"/>
          <w:numId w:val="11"/>
        </w:numPr>
        <w:spacing w:before="0" w:after="80" w:line="300" w:lineRule="auto"/>
      </w:pPr>
      <w:r>
        <w:rPr>
          <w:rFonts w:ascii="Calibri" w:hAnsi="Calibri"/>
          <w:color w:val="0B2545"/>
          <w:sz w:val="22"/>
        </w:rPr>
        <w:t>Write dependable monthly take-home income, liquid cash, minimum payments, due dates, and known irregular costs.</w:t>
      </w:r>
    </w:p>
    <w:p>
      <w:pPr>
        <w:numPr>
          <w:ilvl w:val="0"/>
          <w:numId w:val="11"/>
        </w:numPr>
        <w:spacing w:before="0" w:after="80" w:line="300" w:lineRule="auto"/>
      </w:pPr>
      <w:r>
        <w:rPr>
          <w:rFonts w:ascii="Calibri" w:hAnsi="Calibri"/>
          <w:color w:val="0B2545"/>
          <w:sz w:val="22"/>
        </w:rPr>
        <w:t>Calculate the Monthly Essential-Cost Total: food, shelter, essential utilities, medicine, essential insurance, basic work transportation, and high-consequence legal obligations.</w:t>
      </w:r>
    </w:p>
    <w:p>
      <w:pPr>
        <w:numPr>
          <w:ilvl w:val="0"/>
          <w:numId w:val="11"/>
        </w:numPr>
        <w:spacing w:before="0" w:after="80" w:line="300" w:lineRule="auto"/>
      </w:pPr>
      <w:r>
        <w:rPr>
          <w:rFonts w:ascii="Calibri" w:hAnsi="Calibri"/>
          <w:color w:val="0B2545"/>
          <w:sz w:val="22"/>
        </w:rPr>
        <w:t>Separate cash flow from net worth. Someone can have a negative net worth and improving control.</w:t>
      </w:r>
    </w:p>
    <w:p>
      <w:pPr>
        <w:numPr>
          <w:ilvl w:val="0"/>
          <w:numId w:val="11"/>
        </w:numPr>
        <w:spacing w:before="0" w:after="80" w:line="300" w:lineRule="auto"/>
      </w:pPr>
      <w:r>
        <w:rPr>
          <w:rFonts w:ascii="Calibri" w:hAnsi="Calibri"/>
          <w:color w:val="0B2545"/>
          <w:sz w:val="22"/>
        </w:rPr>
        <w:t>List major assets, the legal owner or title holder, and where supporting records are kept.</w:t>
      </w:r>
    </w:p>
    <w:p>
      <w:pPr>
        <w:numPr>
          <w:ilvl w:val="0"/>
          <w:numId w:val="11"/>
        </w:numPr>
        <w:spacing w:before="0" w:after="80" w:line="300" w:lineRule="auto"/>
      </w:pPr>
      <w:r>
        <w:rPr>
          <w:rFonts w:ascii="Calibri" w:hAnsi="Calibri"/>
          <w:color w:val="0B2545"/>
          <w:sz w:val="22"/>
        </w:rPr>
        <w:t>Mark urgent threats first: past-due housing, utility shutoff, missing medicine, uninsured driving, overdrafts, court deadlines, or identity theft.</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List gaps in necessities, shutoff or court dates, and the first call you will make.</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Verify one complete month and name the disruption most likely to knock the plan off course.</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Calculate cash flow and net worth, then identify the cost or debt creating the most drag.</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Inventory assets, owners, beneficiaries, and where essential records are kept.</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assumes coffee is the problem, but the snapshot shows that unplanned semester fees create the real shortage.</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Two vehicle payments and many small subscriptions consume most of the margin they believed they had.</w:t>
      </w:r>
    </w:p>
    <w:p>
      <w:pPr>
        <w:spacing w:before="0" w:after="120" w:line="300" w:lineRule="auto"/>
      </w:pPr>
      <w:r>
        <w:rPr>
          <w:rFonts w:ascii="Calibri" w:hAnsi="Calibri"/>
          <w:b/>
          <w:color w:val="0B2545"/>
          <w:sz w:val="22"/>
        </w:rPr>
        <w:t xml:space="preserve">James: </w:t>
      </w:r>
      <w:r>
        <w:rPr>
          <w:rFonts w:ascii="Calibri" w:hAnsi="Calibri"/>
          <w:i w:val="0"/>
          <w:color w:val="0B2545"/>
          <w:sz w:val="22"/>
        </w:rPr>
        <w:t>He cannot redo the previous 30 years. He can identify and direct the money that passes through his hands now.</w:t>
      </w:r>
    </w:p>
    <w:p>
      <w:pPr>
        <w:spacing w:before="0" w:after="120" w:line="300" w:lineRule="auto"/>
      </w:pPr>
      <w:r>
        <w:rPr>
          <w:rFonts w:ascii="Calibri" w:hAnsi="Calibri"/>
          <w:b/>
          <w:color w:val="0B2545"/>
          <w:sz w:val="22"/>
        </w:rPr>
        <w:t xml:space="preserve">Jordan: </w:t>
      </w:r>
      <w:r>
        <w:rPr>
          <w:rFonts w:ascii="Calibri" w:hAnsi="Calibri"/>
          <w:i w:val="0"/>
          <w:color w:val="0B2545"/>
          <w:sz w:val="22"/>
        </w:rPr>
        <w:t>There is no car payment and very little restaurant spending, yet basic costs still exceed dependable income. The snapshot confirms a structural shortfall rather than a character failure.</w:t>
      </w:r>
    </w:p>
    <w:p>
      <w:pPr>
        <w:pStyle w:val="Heading2"/>
        <w:keepNext/>
        <w:pageBreakBefore/>
        <w:spacing w:before="60" w:after="30" w:line="240" w:lineRule="auto"/>
      </w:pPr>
      <w:r>
        <w:rPr>
          <w:sz w:val="26"/>
        </w:rPr>
        <w:t>Working exercise: Starting-Line Snapshot</w:t>
      </w:r>
    </w:p>
    <w:p>
      <w:pPr>
        <w:spacing w:before="0" w:after="16" w:line="240" w:lineRule="auto"/>
      </w:pPr>
      <w:r>
        <w:rPr>
          <w:rFonts w:ascii="Calibri" w:hAnsi="Calibri"/>
          <w:i w:val="0"/>
          <w:color w:val="5B6573"/>
          <w:sz w:val="18"/>
        </w:rPr>
        <w:t>Use verified amounts where possible. Mark unknowns instead of guessing.</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3528"/>
        <w:gridCol w:w="2520"/>
        <w:gridCol w:w="3312"/>
      </w:tblGrid>
      <w:tr>
        <w:trPr>
          <w:tblHeader w:val="true"/>
          <w:cantSplit/>
        </w:trPr>
        <w:tc>
          <w:tcPr>
            <w:tcW w:type="dxa" w:w="352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Item</w:t>
            </w:r>
          </w:p>
        </w:tc>
        <w:tc>
          <w:tcPr>
            <w:tcW w:type="dxa" w:w="252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Monthly amount or balance</w:t>
            </w:r>
          </w:p>
        </w:tc>
        <w:tc>
          <w:tcPr>
            <w:tcW w:type="dxa" w:w="331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Status / next step</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Dependable take-home income</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Current path</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Crisis / Stability / Growth / Legacy</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Review monthly</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Monthly essential-cost total</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Minimum debt payments</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Flexible / choice spending</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Liquid savings</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Total debt</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Major assets / legal owner</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Records: 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Monthly surplus or shortfall</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528"/>
            <w:tcMar>
              <w:top w:w="35" w:type="dxa"/>
              <w:start w:w="95" w:type="dxa"/>
              <w:bottom w:w="35" w:type="dxa"/>
              <w:end w:w="95" w:type="dxa"/>
            </w:tcMar>
            <w:vAlign w:val="center"/>
          </w:tcPr>
          <w:p>
            <w:pPr>
              <w:spacing w:after="0" w:line="240" w:lineRule="auto" w:before="0"/>
            </w:pPr>
            <w:r>
              <w:rPr>
                <w:rFonts w:ascii="Calibri" w:hAnsi="Calibri"/>
                <w:color w:val="0B2545"/>
                <w:sz w:val="17"/>
              </w:rPr>
              <w:t>Most urgent issue</w:t>
            </w:r>
          </w:p>
        </w:tc>
        <w:tc>
          <w:tcPr>
            <w:tcW w:type="dxa" w:w="252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Action by: _____________</w:t>
            </w:r>
          </w:p>
        </w:tc>
      </w:tr>
    </w:tbl>
    <w:p>
      <w:pPr>
        <w:pStyle w:val="Heading2"/>
        <w:keepNext/>
        <w:spacing w:before="60" w:after="30" w:line="240" w:lineRule="auto"/>
      </w:pPr>
      <w:r>
        <w:rPr>
          <w:sz w:val="22"/>
        </w:rPr>
        <w:t>Real-life questions</w:t>
      </w:r>
    </w:p>
    <w:p>
      <w:pPr>
        <w:numPr>
          <w:ilvl w:val="0"/>
          <w:numId w:val="12"/>
        </w:numPr>
        <w:spacing w:before="0" w:after="16" w:line="240" w:lineRule="auto"/>
      </w:pPr>
      <w:r>
        <w:rPr>
          <w:rFonts w:ascii="Calibri" w:hAnsi="Calibri"/>
          <w:color w:val="0B2545"/>
          <w:sz w:val="18"/>
        </w:rPr>
        <w:t>Which financial fact are you most tempted to avoid?</w:t>
      </w:r>
    </w:p>
    <w:p>
      <w:pPr>
        <w:numPr>
          <w:ilvl w:val="0"/>
          <w:numId w:val="12"/>
        </w:numPr>
        <w:spacing w:before="0" w:after="16" w:line="240" w:lineRule="auto"/>
      </w:pPr>
      <w:r>
        <w:rPr>
          <w:rFonts w:ascii="Calibri" w:hAnsi="Calibri"/>
          <w:color w:val="0B2545"/>
          <w:sz w:val="18"/>
        </w:rPr>
        <w:t>What would being in control look like 12 months from now?</w:t>
      </w:r>
    </w:p>
    <w:p>
      <w:pPr>
        <w:numPr>
          <w:ilvl w:val="0"/>
          <w:numId w:val="12"/>
        </w:numPr>
        <w:spacing w:before="0" w:after="16" w:line="240" w:lineRule="auto"/>
      </w:pPr>
      <w:r>
        <w:rPr>
          <w:rFonts w:ascii="Calibri" w:hAnsi="Calibri"/>
          <w:color w:val="0B2545"/>
          <w:sz w:val="18"/>
        </w:rPr>
        <w:t>Which number describes your situation but does not define you?</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Gather the required records.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Starting-Line Snapshot.</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List every debt, balance, rate, minimum, status, and due date.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one 12-month outcome that matters to you.</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complete snapshot with unknown items clearly marked and a date for finding them.</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Before spending, write the exact amount of the next deposit and the first three jobs it must perform.</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 - SEE AND DIRECT THE MONEY</w:t>
      </w:r>
    </w:p>
    <w:p>
      <w:pPr>
        <w:keepNext/>
        <w:pageBreakBefore w:val="0"/>
        <w:spacing w:before="0" w:after="60"/>
      </w:pPr>
      <w:r>
        <w:rPr>
          <w:rFonts w:ascii="Calibri" w:hAnsi="Calibri"/>
          <w:b/>
          <w:color w:val="7A5A00"/>
          <w:sz w:val="19"/>
        </w:rPr>
        <w:t>SESSION 2</w:t>
      </w:r>
    </w:p>
    <w:p>
      <w:pPr>
        <w:pStyle w:val="Heading1"/>
        <w:keepNext/>
      </w:pPr>
      <w:r>
        <w:t>Understand Income, Paychecks, and Benefits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Know what reliably reaches the household and what pay, benefit, tax, or fixed-income item requires action.</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Many plans start with gross salary, ignore deductions or benefit rules, assume the best overtime month will repeat, or overlook fixed-income timing. The result is a plan based on money that never reaches checking.</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Build from dependable money received. Treat benefits as resources and a tax refund as delayed money, not free money.</w:t>
            </w:r>
          </w:p>
        </w:tc>
      </w:tr>
    </w:tbl>
    <w:p>
      <w:pPr>
        <w:spacing w:after="0"/>
      </w:pPr>
    </w:p>
    <w:p>
      <w:pPr>
        <w:pStyle w:val="Heading2"/>
        <w:keepNext/>
      </w:pPr>
      <w:r>
        <w:t>How to solve the problem</w:t>
      </w:r>
    </w:p>
    <w:p>
      <w:pPr>
        <w:numPr>
          <w:ilvl w:val="0"/>
          <w:numId w:val="13"/>
        </w:numPr>
        <w:spacing w:before="0" w:after="80" w:line="300" w:lineRule="auto"/>
      </w:pPr>
      <w:r>
        <w:rPr>
          <w:rFonts w:ascii="Calibri" w:hAnsi="Calibri"/>
          <w:color w:val="0B2545"/>
          <w:sz w:val="22"/>
        </w:rPr>
        <w:t>Read gross earnings, hours, overtime, taxes, insurance, retirement deductions, garnishments, and paid-leave balances on the paystub.</w:t>
      </w:r>
    </w:p>
    <w:p>
      <w:pPr>
        <w:numPr>
          <w:ilvl w:val="0"/>
          <w:numId w:val="13"/>
        </w:numPr>
        <w:spacing w:before="0" w:after="80" w:line="300" w:lineRule="auto"/>
      </w:pPr>
      <w:r>
        <w:rPr>
          <w:rFonts w:ascii="Calibri" w:hAnsi="Calibri"/>
          <w:color w:val="0B2545"/>
          <w:sz w:val="22"/>
        </w:rPr>
        <w:t>For variable hours, use a conservative income floor based on lower normal months.</w:t>
      </w:r>
    </w:p>
    <w:p>
      <w:pPr>
        <w:numPr>
          <w:ilvl w:val="0"/>
          <w:numId w:val="13"/>
        </w:numPr>
        <w:spacing w:before="0" w:after="80" w:line="300" w:lineRule="auto"/>
      </w:pPr>
      <w:r>
        <w:rPr>
          <w:rFonts w:ascii="Calibri" w:hAnsi="Calibri"/>
          <w:color w:val="0B2545"/>
          <w:sz w:val="22"/>
        </w:rPr>
        <w:t>For seasonal work, pensions, Social Security, disability, or other fixed income, record the deposit date, net amount, and any annual changes.</w:t>
      </w:r>
    </w:p>
    <w:p>
      <w:pPr>
        <w:numPr>
          <w:ilvl w:val="0"/>
          <w:numId w:val="13"/>
        </w:numPr>
        <w:spacing w:before="0" w:after="80" w:line="300" w:lineRule="auto"/>
      </w:pPr>
      <w:r>
        <w:rPr>
          <w:rFonts w:ascii="Calibri" w:hAnsi="Calibri"/>
          <w:color w:val="0B2545"/>
          <w:sz w:val="22"/>
        </w:rPr>
        <w:t>Review employer health, retirement, disability, life, leave, education, and assistance benefits at least annually.</w:t>
      </w:r>
    </w:p>
    <w:p>
      <w:pPr>
        <w:numPr>
          <w:ilvl w:val="0"/>
          <w:numId w:val="13"/>
        </w:numPr>
        <w:spacing w:before="0" w:after="80" w:line="300" w:lineRule="auto"/>
      </w:pPr>
      <w:r>
        <w:rPr>
          <w:rFonts w:ascii="Calibri" w:hAnsi="Calibri"/>
          <w:color w:val="0B2545"/>
          <w:sz w:val="22"/>
        </w:rPr>
        <w:t>Check withholding after marriage, divorce, a new job, a child, or a major income change.</w:t>
      </w:r>
    </w:p>
    <w:p>
      <w:pPr>
        <w:numPr>
          <w:ilvl w:val="0"/>
          <w:numId w:val="13"/>
        </w:numPr>
        <w:spacing w:before="0" w:after="80" w:line="300" w:lineRule="auto"/>
      </w:pPr>
      <w:r>
        <w:rPr>
          <w:rFonts w:ascii="Calibri" w:hAnsi="Calibri"/>
          <w:color w:val="0B2545"/>
          <w:sz w:val="22"/>
        </w:rPr>
        <w:t>Evaluate extra work by net gain after taxes, childcare, transportation, benefit changes, and time.</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Verify actual deposits, deductions, garnishments, leave, and benefits or assistance you may qualify for.</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Set a conservative income baseline for variable, seasonal, or fixed income.</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Optimize withholding, workplace benefits, matching money, and realistic training opportunities.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Map pensions, Social Security, survivor income, and how income would continue after a death or disability.</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builds from her lower-hours month instead of assuming maximum shifts during exams.</w:t>
      </w:r>
    </w:p>
    <w:p>
      <w:pPr>
        <w:spacing w:before="0" w:after="120" w:line="300" w:lineRule="auto"/>
      </w:pPr>
      <w:r>
        <w:rPr>
          <w:rFonts w:ascii="Calibri" w:hAnsi="Calibri"/>
          <w:b/>
          <w:color w:val="0B2545"/>
          <w:sz w:val="22"/>
        </w:rPr>
        <w:t xml:space="preserve">Jordan: </w:t>
      </w:r>
      <w:r>
        <w:rPr>
          <w:rFonts w:ascii="Calibri" w:hAnsi="Calibri"/>
          <w:i w:val="0"/>
          <w:color w:val="0B2545"/>
          <w:sz w:val="22"/>
        </w:rPr>
        <w:t>A conservative baseline exposes the amount that necessities exceed lower-hour months and prevents overtime from being promised twice.</w:t>
      </w:r>
    </w:p>
    <w:p>
      <w:pPr>
        <w:spacing w:before="0" w:after="120" w:line="300" w:lineRule="auto"/>
      </w:pPr>
      <w:r>
        <w:rPr>
          <w:rFonts w:ascii="Calibri" w:hAnsi="Calibri"/>
          <w:b/>
          <w:color w:val="0B2545"/>
          <w:sz w:val="22"/>
        </w:rPr>
        <w:t xml:space="preserve">James: </w:t>
      </w:r>
      <w:r>
        <w:rPr>
          <w:rFonts w:ascii="Calibri" w:hAnsi="Calibri"/>
          <w:i w:val="0"/>
          <w:color w:val="0B2545"/>
          <w:sz w:val="22"/>
        </w:rPr>
        <w:t>He reviews the retirement match and disability options instead of assuming his employer offers nothing useful.</w:t>
      </w:r>
    </w:p>
    <w:p>
      <w:pPr>
        <w:spacing w:before="0" w:after="120" w:line="300" w:lineRule="auto"/>
      </w:pPr>
      <w:r>
        <w:rPr>
          <w:rFonts w:ascii="Calibri" w:hAnsi="Calibri"/>
          <w:b/>
          <w:color w:val="0B2545"/>
          <w:sz w:val="22"/>
        </w:rPr>
        <w:t xml:space="preserve">Evelyn: </w:t>
      </w:r>
      <w:r>
        <w:rPr>
          <w:rFonts w:ascii="Calibri" w:hAnsi="Calibri"/>
          <w:i w:val="0"/>
          <w:color w:val="0B2545"/>
          <w:sz w:val="22"/>
        </w:rPr>
        <w:t>She records Social Security and pension deposits, Medicare and insurance deductions, and the month each benefit may change.</w:t>
      </w:r>
    </w:p>
    <w:p>
      <w:pPr>
        <w:pStyle w:val="Heading2"/>
        <w:keepNext/>
        <w:pageBreakBefore/>
        <w:spacing w:before="60" w:after="30" w:line="240" w:lineRule="auto"/>
      </w:pPr>
      <w:r>
        <w:rPr>
          <w:sz w:val="26"/>
        </w:rPr>
        <w:t>Working exercise: Income and benefits review</w:t>
      </w:r>
    </w:p>
    <w:p>
      <w:pPr>
        <w:spacing w:before="0" w:after="16" w:line="240" w:lineRule="auto"/>
      </w:pPr>
      <w:r>
        <w:rPr>
          <w:rFonts w:ascii="Calibri" w:hAnsi="Calibri"/>
          <w:i w:val="0"/>
          <w:color w:val="5B6573"/>
          <w:sz w:val="18"/>
        </w:rPr>
        <w:t>Use recent paystubs, award letters, pension statements, or benefit summaries that apply to you.</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880"/>
        <w:gridCol w:w="3240"/>
        <w:gridCol w:w="3240"/>
      </w:tblGrid>
      <w:tr>
        <w:trPr>
          <w:tblHeader w:val="true"/>
          <w:cantSplit/>
        </w:trPr>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Pay or benefit item</w:t>
            </w:r>
          </w:p>
        </w:tc>
        <w:tc>
          <w:tcPr>
            <w:tcW w:type="dxa" w:w="324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What it provides / costs</w:t>
            </w:r>
          </w:p>
        </w:tc>
        <w:tc>
          <w:tcPr>
            <w:tcW w:type="dxa" w:w="324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Question or action</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Gross pay and hours</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Seasonal / irregular income</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Low-month net: $________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Social Security / pension / disability</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 on day 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Taxes withheld</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Health coverage</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Retirement and match</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Disability / life</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Paid leave / education</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Dependable take-home</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$____________ per month</w:t>
            </w:r>
          </w:p>
        </w:tc>
        <w:tc>
          <w:tcPr>
            <w:tcW w:type="dxa" w:w="3240"/>
            <w:tcMar>
              <w:top w:w="35" w:type="dxa"/>
              <w:start w:w="95" w:type="dxa"/>
              <w:bottom w:w="35" w:type="dxa"/>
              <w:end w:w="95" w:type="dxa"/>
            </w:tcMar>
            <w:vAlign w:val="center"/>
          </w:tcPr>
          <w:p>
            <w:pPr>
              <w:spacing w:after="0" w:line="240" w:lineRule="auto" w:before="0"/>
            </w:pPr>
            <w:r>
              <w:rPr>
                <w:rFonts w:ascii="Calibri" w:hAnsi="Calibri"/>
                <w:color w:val="0B2545"/>
                <w:sz w:val="17"/>
              </w:rPr>
              <w:t>Verified on: ____________</w:t>
            </w:r>
          </w:p>
        </w:tc>
      </w:tr>
    </w:tbl>
    <w:p>
      <w:pPr>
        <w:pStyle w:val="Heading2"/>
        <w:keepNext/>
        <w:spacing w:before="60" w:after="30" w:line="240" w:lineRule="auto"/>
      </w:pPr>
      <w:r>
        <w:rPr>
          <w:sz w:val="22"/>
        </w:rPr>
        <w:t>Real-life questions</w:t>
      </w:r>
    </w:p>
    <w:p>
      <w:pPr>
        <w:numPr>
          <w:ilvl w:val="0"/>
          <w:numId w:val="14"/>
        </w:numPr>
        <w:spacing w:before="0" w:after="16" w:line="240" w:lineRule="auto"/>
      </w:pPr>
      <w:r>
        <w:rPr>
          <w:rFonts w:ascii="Calibri" w:hAnsi="Calibri"/>
          <w:color w:val="0B2545"/>
          <w:sz w:val="18"/>
        </w:rPr>
        <w:t>Which deduction do you not understand?</w:t>
      </w:r>
    </w:p>
    <w:p>
      <w:pPr>
        <w:numPr>
          <w:ilvl w:val="0"/>
          <w:numId w:val="14"/>
        </w:numPr>
        <w:spacing w:before="0" w:after="16" w:line="240" w:lineRule="auto"/>
      </w:pPr>
      <w:r>
        <w:rPr>
          <w:rFonts w:ascii="Calibri" w:hAnsi="Calibri"/>
          <w:color w:val="0B2545"/>
          <w:sz w:val="18"/>
        </w:rPr>
        <w:t>What is your dependable monthly income floor?</w:t>
      </w:r>
    </w:p>
    <w:p>
      <w:pPr>
        <w:numPr>
          <w:ilvl w:val="0"/>
          <w:numId w:val="14"/>
        </w:numPr>
        <w:spacing w:before="0" w:after="16" w:line="240" w:lineRule="auto"/>
      </w:pPr>
      <w:r>
        <w:rPr>
          <w:rFonts w:ascii="Calibri" w:hAnsi="Calibri"/>
          <w:color w:val="0B2545"/>
          <w:sz w:val="18"/>
        </w:rPr>
        <w:t>Which benefit are you paying for but not using, or eligible for but not claiming?</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Label every line of one paystub or benefit statement.</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Calculate dependable monthly take-home income.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Benefits and Withholding Review.</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Write one question for payroll, human resources, a tax preparer, or a benefits counselor.</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dependable take-home figure and one documented benefit or withholding decision.</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Compare the deposit with the paystub and record every difference from your income-floor estimate.</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 - SEE AND DIRECT THE MONEY</w:t>
      </w:r>
    </w:p>
    <w:p>
      <w:pPr>
        <w:keepNext/>
        <w:pageBreakBefore w:val="0"/>
        <w:spacing w:before="0" w:after="60"/>
      </w:pPr>
      <w:r>
        <w:rPr>
          <w:rFonts w:ascii="Calibri" w:hAnsi="Calibri"/>
          <w:b/>
          <w:color w:val="7A5A00"/>
          <w:sz w:val="19"/>
        </w:rPr>
        <w:t>SESSION 3</w:t>
      </w:r>
    </w:p>
    <w:p>
      <w:pPr>
        <w:pStyle w:val="Heading1"/>
        <w:keepNext/>
      </w:pPr>
      <w:r>
        <w:t>Give Each Payday an Order</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Build a monthly plan and a 30-day cash-flow calendar that prevent payday panic.</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A monthly budget can appear balanced while the timing of deposits and withdrawals still causes overdrafts, late fees, and missed bills.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Decide what available money must do before spending begins. Protect the Monthly Essential-Cost Total before lifestyle spending.</w:t>
            </w:r>
          </w:p>
        </w:tc>
      </w:tr>
    </w:tbl>
    <w:p>
      <w:pPr>
        <w:spacing w:after="0"/>
      </w:pPr>
    </w:p>
    <w:p>
      <w:pPr>
        <w:pStyle w:val="Heading2"/>
        <w:keepNext/>
      </w:pPr>
      <w:r>
        <w:t>How to solve the problem</w:t>
      </w:r>
    </w:p>
    <w:p>
      <w:pPr>
        <w:numPr>
          <w:ilvl w:val="0"/>
          <w:numId w:val="15"/>
        </w:numPr>
        <w:spacing w:before="0" w:after="80" w:line="300" w:lineRule="auto"/>
      </w:pPr>
      <w:r>
        <w:rPr>
          <w:rFonts w:ascii="Calibri" w:hAnsi="Calibri"/>
          <w:color w:val="0B2545"/>
          <w:sz w:val="22"/>
        </w:rPr>
        <w:t>Put every expected deposit and bill on a 30-day Cash-Flow Calendar.</w:t>
      </w:r>
    </w:p>
    <w:p>
      <w:pPr>
        <w:numPr>
          <w:ilvl w:val="0"/>
          <w:numId w:val="15"/>
        </w:numPr>
        <w:spacing w:before="0" w:after="80" w:line="300" w:lineRule="auto"/>
      </w:pPr>
      <w:r>
        <w:rPr>
          <w:rFonts w:ascii="Calibri" w:hAnsi="Calibri"/>
          <w:color w:val="0B2545"/>
          <w:sz w:val="22"/>
        </w:rPr>
        <w:t>Rank bills by the consequence of missing them, not by which company calls most often.</w:t>
      </w:r>
    </w:p>
    <w:p>
      <w:pPr>
        <w:numPr>
          <w:ilvl w:val="0"/>
          <w:numId w:val="15"/>
        </w:numPr>
        <w:spacing w:before="0" w:after="80" w:line="300" w:lineRule="auto"/>
      </w:pPr>
      <w:r>
        <w:rPr>
          <w:rFonts w:ascii="Calibri" w:hAnsi="Calibri"/>
          <w:color w:val="0B2545"/>
          <w:sz w:val="22"/>
        </w:rPr>
        <w:t>Assign each paycheck before spending begins.</w:t>
      </w:r>
    </w:p>
    <w:p>
      <w:pPr>
        <w:numPr>
          <w:ilvl w:val="0"/>
          <w:numId w:val="15"/>
        </w:numPr>
        <w:spacing w:before="0" w:after="80" w:line="300" w:lineRule="auto"/>
      </w:pPr>
      <w:r>
        <w:rPr>
          <w:rFonts w:ascii="Calibri" w:hAnsi="Calibri"/>
          <w:color w:val="0B2545"/>
          <w:sz w:val="22"/>
        </w:rPr>
        <w:t>Move due dates when that reduces timing problems, and leave a small checking cushion when possible.</w:t>
      </w:r>
    </w:p>
    <w:p>
      <w:pPr>
        <w:numPr>
          <w:ilvl w:val="0"/>
          <w:numId w:val="15"/>
        </w:numPr>
        <w:spacing w:before="0" w:after="80" w:line="300" w:lineRule="auto"/>
      </w:pPr>
      <w:r>
        <w:rPr>
          <w:rFonts w:ascii="Calibri" w:hAnsi="Calibri"/>
          <w:color w:val="0B2545"/>
          <w:sz w:val="22"/>
        </w:rPr>
        <w:t>Compare a low-fee insured bank or credit-union account with overdraft, check-cashing, prepaid-card, and money-order costs; choose the safest practical access method.</w:t>
      </w:r>
    </w:p>
    <w:p>
      <w:pPr>
        <w:numPr>
          <w:ilvl w:val="0"/>
          <w:numId w:val="15"/>
        </w:numPr>
        <w:spacing w:before="0" w:after="80" w:line="300" w:lineRule="auto"/>
      </w:pPr>
      <w:r>
        <w:rPr>
          <w:rFonts w:ascii="Calibri" w:hAnsi="Calibri"/>
          <w:color w:val="0B2545"/>
          <w:sz w:val="22"/>
        </w:rPr>
        <w:t>Use the correct plan for a shortfall, break-even month, or surplus month.</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Build a 7- to 14-day priority plan for necessities and high-consequence obligations.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Use the full calendar, prevent overdrafts, and begin a small checking cushion.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Automate future-expense funds and the next financial goal after bills clear.</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Coordinate annual obligations, reserves, account ownership, and trusted access without sharing passwords.</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places tuition and books on a semester calendar instead of calling them a monthly emergency.</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move selected due dates so expenses no longer cluster before payday.</w:t>
      </w:r>
    </w:p>
    <w:p>
      <w:pPr>
        <w:spacing w:before="0" w:after="120" w:line="300" w:lineRule="auto"/>
      </w:pPr>
      <w:r>
        <w:rPr>
          <w:rFonts w:ascii="Calibri" w:hAnsi="Calibri"/>
          <w:b/>
          <w:color w:val="0B2545"/>
          <w:sz w:val="22"/>
        </w:rPr>
        <w:t xml:space="preserve">Jordan: </w:t>
      </w:r>
      <w:r>
        <w:rPr>
          <w:rFonts w:ascii="Calibri" w:hAnsi="Calibri"/>
          <w:i w:val="0"/>
          <w:color w:val="0B2545"/>
          <w:sz w:val="22"/>
        </w:rPr>
        <w:t>The calendar shows a true shortfall, so the first plan covers the next 10 days and schedules calls before shutoff dates.</w:t>
      </w:r>
    </w:p>
    <w:p>
      <w:pPr>
        <w:spacing w:before="0" w:after="120" w:line="300" w:lineRule="auto"/>
      </w:pPr>
      <w:r>
        <w:rPr>
          <w:rFonts w:ascii="Calibri" w:hAnsi="Calibri"/>
          <w:b/>
          <w:color w:val="0B2545"/>
          <w:sz w:val="22"/>
        </w:rPr>
        <w:t xml:space="preserve">Evelyn: </w:t>
      </w:r>
      <w:r>
        <w:rPr>
          <w:rFonts w:ascii="Calibri" w:hAnsi="Calibri"/>
          <w:i w:val="0"/>
          <w:color w:val="0B2545"/>
          <w:sz w:val="22"/>
        </w:rPr>
        <w:t>She moves an insurance due date and keeps a small account cushion so a fixed monthly deposit can cover uneven bill dates.</w:t>
      </w:r>
    </w:p>
    <w:p>
      <w:pPr>
        <w:pStyle w:val="Heading2"/>
        <w:keepNext/>
        <w:pageBreakBefore/>
        <w:spacing w:before="60" w:after="30" w:line="240" w:lineRule="auto"/>
      </w:pPr>
      <w:r>
        <w:rPr>
          <w:sz w:val="26"/>
        </w:rPr>
        <w:t>Working exercise: Paycheck Allocation Plan</w:t>
      </w:r>
    </w:p>
    <w:p>
      <w:pPr>
        <w:spacing w:before="0" w:after="16" w:line="240" w:lineRule="auto"/>
      </w:pPr>
      <w:r>
        <w:rPr>
          <w:rFonts w:ascii="Calibri" w:hAnsi="Calibri"/>
          <w:i w:val="0"/>
          <w:color w:val="5B6573"/>
          <w:sz w:val="18"/>
        </w:rPr>
        <w:t>Add rows for your actual deposit and bills. The balance after each line must never be a hopeful estimate.</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440"/>
        <w:gridCol w:w="4032"/>
        <w:gridCol w:w="1800"/>
        <w:gridCol w:w="2088"/>
      </w:tblGrid>
      <w:tr>
        <w:trPr>
          <w:tblHeader w:val="true"/>
          <w:cantSplit/>
        </w:trPr>
        <w:tc>
          <w:tcPr>
            <w:tcW w:type="dxa" w:w="1440"/>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Date</w:t>
            </w:r>
          </w:p>
        </w:tc>
        <w:tc>
          <w:tcPr>
            <w:tcW w:type="dxa" w:w="403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Deposit or payment</w:t>
            </w:r>
          </w:p>
        </w:tc>
        <w:tc>
          <w:tcPr>
            <w:tcW w:type="dxa" w:w="180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Amount</w:t>
            </w:r>
          </w:p>
        </w:tc>
        <w:tc>
          <w:tcPr>
            <w:tcW w:type="dxa" w:w="208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Running balance</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Starting balance</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Banking / cash-access fees</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r>
        <w:trPr>
          <w:cantSplit/>
        </w:trPr>
        <w:tc>
          <w:tcPr>
            <w:tcW w:type="dxa" w:w="1440"/>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w:t>
            </w:r>
          </w:p>
        </w:tc>
        <w:tc>
          <w:tcPr>
            <w:tcW w:type="dxa" w:w="40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180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c>
          <w:tcPr>
            <w:tcW w:type="dxa" w:w="2088"/>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w:t>
            </w:r>
          </w:p>
        </w:tc>
      </w:tr>
    </w:tbl>
    <w:p>
      <w:pPr>
        <w:pStyle w:val="Heading2"/>
        <w:keepNext/>
        <w:spacing w:before="60" w:after="30" w:line="240" w:lineRule="auto"/>
      </w:pPr>
      <w:r>
        <w:rPr>
          <w:sz w:val="22"/>
        </w:rPr>
        <w:t>Real-life questions</w:t>
      </w:r>
    </w:p>
    <w:p>
      <w:pPr>
        <w:numPr>
          <w:ilvl w:val="0"/>
          <w:numId w:val="16"/>
        </w:numPr>
        <w:spacing w:before="0" w:after="16" w:line="240" w:lineRule="auto"/>
      </w:pPr>
      <w:r>
        <w:rPr>
          <w:rFonts w:ascii="Calibri" w:hAnsi="Calibri"/>
          <w:color w:val="0B2545"/>
          <w:sz w:val="18"/>
        </w:rPr>
        <w:t>Is your main problem the amount of money, the timing, or both?</w:t>
      </w:r>
    </w:p>
    <w:p>
      <w:pPr>
        <w:numPr>
          <w:ilvl w:val="0"/>
          <w:numId w:val="16"/>
        </w:numPr>
        <w:spacing w:before="0" w:after="16" w:line="240" w:lineRule="auto"/>
      </w:pPr>
      <w:r>
        <w:rPr>
          <w:rFonts w:ascii="Calibri" w:hAnsi="Calibri"/>
          <w:color w:val="0B2545"/>
          <w:sz w:val="18"/>
        </w:rPr>
        <w:t>Which missed bill would cause the greatest immediate harm?</w:t>
      </w:r>
    </w:p>
    <w:p>
      <w:pPr>
        <w:numPr>
          <w:ilvl w:val="0"/>
          <w:numId w:val="16"/>
        </w:numPr>
        <w:spacing w:before="0" w:after="16" w:line="240" w:lineRule="auto"/>
      </w:pPr>
      <w:r>
        <w:rPr>
          <w:rFonts w:ascii="Calibri" w:hAnsi="Calibri"/>
          <w:color w:val="0B2545"/>
          <w:sz w:val="18"/>
        </w:rPr>
        <w:t>What should the first dollar from the next paycheck do?</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Calculate the Monthly Essential-Cost Total.</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a 30-day Cash-Flow Calendar.</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Assign the next paycheck.</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Request one useful due-date change.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Review banking, overdraft, cash-access, and check-cashing costs.</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Every dollar of the next paycheck is assigned, or a written shortfall triage plan exists.</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Follow the written assignment before making an unplanned purchase.</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 - SEE AND DIRECT THE MONEY</w:t>
      </w:r>
    </w:p>
    <w:p>
      <w:pPr>
        <w:keepNext/>
        <w:pageBreakBefore w:val="0"/>
        <w:spacing w:before="0" w:after="60"/>
      </w:pPr>
      <w:r>
        <w:rPr>
          <w:rFonts w:ascii="Calibri" w:hAnsi="Calibri"/>
          <w:b/>
          <w:color w:val="7A5A00"/>
          <w:sz w:val="19"/>
        </w:rPr>
        <w:t>SESSION 4</w:t>
      </w:r>
    </w:p>
    <w:p>
      <w:pPr>
        <w:pStyle w:val="Heading1"/>
        <w:keepNext/>
      </w:pPr>
      <w:r>
        <w:t>Enjoy Life Without Owing for It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Create separate, pre-funded Planned Fun Money and a rule that survives temptation.</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Dining out, entertainment, shopping, and upgrades feel small one at a time, but repeated convenience and impulse purchases are often financed with future income.</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Plan it, set the money aside, then enjoy it. Optional treats are paid for in advance, never with debt.</w:t>
            </w:r>
          </w:p>
        </w:tc>
      </w:tr>
    </w:tbl>
    <w:p>
      <w:pPr>
        <w:spacing w:after="0"/>
      </w:pPr>
    </w:p>
    <w:p>
      <w:pPr>
        <w:pStyle w:val="Heading2"/>
        <w:keepNext/>
      </w:pPr>
      <w:r>
        <w:t>How to solve the problem</w:t>
      </w:r>
    </w:p>
    <w:p>
      <w:pPr>
        <w:numPr>
          <w:ilvl w:val="0"/>
          <w:numId w:val="17"/>
        </w:numPr>
        <w:spacing w:before="0" w:after="80" w:line="300" w:lineRule="auto"/>
      </w:pPr>
      <w:r>
        <w:rPr>
          <w:rFonts w:ascii="Calibri" w:hAnsi="Calibri"/>
          <w:color w:val="0B2545"/>
          <w:sz w:val="22"/>
        </w:rPr>
        <w:t>Create separate Planned Fun Money using a cash envelope, debit subaccount, or prepaid balance.</w:t>
      </w:r>
    </w:p>
    <w:p>
      <w:pPr>
        <w:numPr>
          <w:ilvl w:val="0"/>
          <w:numId w:val="17"/>
        </w:numPr>
        <w:spacing w:before="0" w:after="80" w:line="300" w:lineRule="auto"/>
      </w:pPr>
      <w:r>
        <w:rPr>
          <w:rFonts w:ascii="Calibri" w:hAnsi="Calibri"/>
          <w:color w:val="0B2545"/>
          <w:sz w:val="22"/>
        </w:rPr>
        <w:t>Fund it only after the Monthly Essential-Cost Total and required current obligations are protected.</w:t>
      </w:r>
    </w:p>
    <w:p>
      <w:pPr>
        <w:numPr>
          <w:ilvl w:val="0"/>
          <w:numId w:val="17"/>
        </w:numPr>
        <w:spacing w:before="0" w:after="80" w:line="300" w:lineRule="auto"/>
      </w:pPr>
      <w:r>
        <w:rPr>
          <w:rFonts w:ascii="Calibri" w:hAnsi="Calibri"/>
          <w:color w:val="0B2545"/>
          <w:sz w:val="22"/>
        </w:rPr>
        <w:t>Never use a credit card, buy-now-pay-later plan, overdraft, emergency reserve, or bill money for a splurge.</w:t>
      </w:r>
    </w:p>
    <w:p>
      <w:pPr>
        <w:numPr>
          <w:ilvl w:val="0"/>
          <w:numId w:val="17"/>
        </w:numPr>
        <w:spacing w:before="0" w:after="80" w:line="300" w:lineRule="auto"/>
      </w:pPr>
      <w:r>
        <w:rPr>
          <w:rFonts w:ascii="Calibri" w:hAnsi="Calibri"/>
          <w:color w:val="0B2545"/>
          <w:sz w:val="22"/>
        </w:rPr>
        <w:t>Allow unused money to roll forward for a larger want; never reload early because of temptation.</w:t>
      </w:r>
    </w:p>
    <w:p>
      <w:pPr>
        <w:numPr>
          <w:ilvl w:val="0"/>
          <w:numId w:val="17"/>
        </w:numPr>
        <w:spacing w:before="0" w:after="80" w:line="300" w:lineRule="auto"/>
      </w:pPr>
      <w:r>
        <w:rPr>
          <w:rFonts w:ascii="Calibri" w:hAnsi="Calibri"/>
          <w:color w:val="0B2545"/>
          <w:sz w:val="22"/>
        </w:rPr>
        <w:t>Use a 24-, 48-, or 72-hour pause for unplanned purchases and remove saved cards from shopping and restaurant apps.</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Set planned fun money at $0 or a tiny honest amount; choose free options and never borrow for fun.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Set a modest payday amount after necessities and required payments are protected.</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Choose a sustainable amount after savings, debt, and future costs are funded.</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Plan experiences and generosity without borrowing or draining protected assets.</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Her account holds $50 and the concert ticket costs $120. She waits, earns more, or chooses a less expensive event. The credit card is not an option.</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each receive agreed Planned Fun Money and also pre-fund a separate date-night amount.</w:t>
      </w:r>
    </w:p>
    <w:p>
      <w:pPr>
        <w:spacing w:before="0" w:after="120" w:line="300" w:lineRule="auto"/>
      </w:pPr>
      <w:r>
        <w:rPr>
          <w:rFonts w:ascii="Calibri" w:hAnsi="Calibri"/>
          <w:b/>
          <w:color w:val="0B2545"/>
          <w:sz w:val="22"/>
        </w:rPr>
        <w:t xml:space="preserve">James: </w:t>
      </w:r>
      <w:r>
        <w:rPr>
          <w:rFonts w:ascii="Calibri" w:hAnsi="Calibri"/>
          <w:i w:val="0"/>
          <w:color w:val="0B2545"/>
          <w:sz w:val="22"/>
        </w:rPr>
        <w:t>Four $3.79 teas add $15.16 to a family meal—about $788 a year if ordered weekly. He chooses deliberately and pays from Planned Fun Money.</w:t>
      </w:r>
    </w:p>
    <w:p>
      <w:pPr>
        <w:spacing w:before="0" w:after="120" w:line="300" w:lineRule="auto"/>
      </w:pPr>
      <w:r>
        <w:rPr>
          <w:rFonts w:ascii="Calibri" w:hAnsi="Calibri"/>
          <w:b/>
          <w:color w:val="0B2545"/>
          <w:sz w:val="22"/>
        </w:rPr>
        <w:t xml:space="preserve">Jordan: </w:t>
      </w:r>
      <w:r>
        <w:rPr>
          <w:rFonts w:ascii="Calibri" w:hAnsi="Calibri"/>
          <w:i w:val="0"/>
          <w:color w:val="0B2545"/>
          <w:sz w:val="22"/>
        </w:rPr>
        <w:t>During a structural shortfall, the fund is temporarily $0 and enjoyment is free or nearly free. Borrowing for fun is still off-limits.</w:t>
      </w:r>
    </w:p>
    <w:p>
      <w:pPr>
        <w:pStyle w:val="Heading2"/>
        <w:keepNext/>
        <w:pageBreakBefore/>
        <w:spacing w:before="60" w:after="30" w:line="240" w:lineRule="auto"/>
      </w:pPr>
      <w:r>
        <w:rPr>
          <w:sz w:val="26"/>
        </w:rPr>
        <w:t>Working exercise: My Planned Fun Money rule</w:t>
      </w:r>
    </w:p>
    <w:p>
      <w:pPr>
        <w:spacing w:before="0" w:after="16" w:line="240" w:lineRule="auto"/>
      </w:pPr>
      <w:r>
        <w:rPr>
          <w:rFonts w:ascii="Calibri" w:hAnsi="Calibri"/>
          <w:i w:val="0"/>
          <w:color w:val="5B6573"/>
          <w:sz w:val="18"/>
        </w:rPr>
        <w:t>The rule is permission to enjoy money that already exists. It is not permission to spend next month's income.</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3024"/>
        <w:gridCol w:w="6336"/>
      </w:tblGrid>
      <w:tr>
        <w:trPr>
          <w:tblHeader w:val="true"/>
          <w:cantSplit/>
        </w:trPr>
        <w:tc>
          <w:tcPr>
            <w:tcW w:type="dxa" w:w="302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Decision</w:t>
            </w:r>
          </w:p>
        </w:tc>
        <w:tc>
          <w:tcPr>
            <w:tcW w:type="dxa" w:w="633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My written rule</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Amount per payday</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Funding order</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After: __________________________</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Allowed purchases</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Waiting period</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24 / 48 / 72 hours / Other: ______</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When the balance is $0</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I will __________________________</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Credit / BNPL / overdraft</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Never used for splurges</w:t>
            </w:r>
          </w:p>
        </w:tc>
      </w:tr>
      <w:tr>
        <w:trPr>
          <w:cantSplit/>
        </w:trPr>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Rollover rule</w:t>
            </w:r>
          </w:p>
        </w:tc>
        <w:tc>
          <w:tcPr>
            <w:tcW w:type="dxa" w:w="633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w:t>
            </w:r>
          </w:p>
        </w:tc>
      </w:tr>
    </w:tbl>
    <w:p>
      <w:pPr>
        <w:pStyle w:val="Heading2"/>
        <w:keepNext/>
        <w:spacing w:before="60" w:after="30" w:line="240" w:lineRule="auto"/>
      </w:pPr>
      <w:r>
        <w:rPr>
          <w:sz w:val="22"/>
        </w:rPr>
        <w:t>Real-life questions</w:t>
      </w:r>
    </w:p>
    <w:p>
      <w:pPr>
        <w:numPr>
          <w:ilvl w:val="0"/>
          <w:numId w:val="18"/>
        </w:numPr>
        <w:spacing w:before="0" w:after="16" w:line="240" w:lineRule="auto"/>
      </w:pPr>
      <w:r>
        <w:rPr>
          <w:rFonts w:ascii="Calibri" w:hAnsi="Calibri"/>
          <w:color w:val="0B2545"/>
          <w:sz w:val="18"/>
        </w:rPr>
        <w:t>Which purchases are driven by stress, convenience, image, social pressure, or the belief ‘I deserve it’ or ‘everyone else has one’?</w:t>
      </w:r>
    </w:p>
    <w:p>
      <w:pPr>
        <w:numPr>
          <w:ilvl w:val="0"/>
          <w:numId w:val="18"/>
        </w:numPr>
        <w:spacing w:before="0" w:after="16" w:line="240" w:lineRule="auto"/>
      </w:pPr>
      <w:r>
        <w:rPr>
          <w:rFonts w:ascii="Calibri" w:hAnsi="Calibri"/>
          <w:color w:val="0B2545"/>
          <w:sz w:val="18"/>
        </w:rPr>
        <w:t>Which splurges genuinely improve your life?</w:t>
      </w:r>
    </w:p>
    <w:p>
      <w:pPr>
        <w:numPr>
          <w:ilvl w:val="0"/>
          <w:numId w:val="18"/>
        </w:numPr>
        <w:spacing w:before="0" w:after="16" w:line="240" w:lineRule="auto"/>
      </w:pPr>
      <w:r>
        <w:rPr>
          <w:rFonts w:ascii="Calibri" w:hAnsi="Calibri"/>
          <w:color w:val="0B2545"/>
          <w:sz w:val="18"/>
        </w:rPr>
        <w:t>What sentence can you use when friends want to spend more than the account allows?</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Create or label the place that holds Planned Fun Money.</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the amount funded on each payday.</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Remove credit cards and installment options from discretionary shopping channels.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Write a restaurant rule and a waiting-period rule.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written Planned Fun Money rule and either a funded amount or an intentional temporary $0.</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Transfer only the planned amount after the Monthly Essential-Cost Total is protected.</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 - STABILIZE AND REMOVE PRESSURE</w:t>
      </w:r>
    </w:p>
    <w:p>
      <w:pPr>
        <w:keepNext/>
        <w:pageBreakBefore w:val="0"/>
        <w:spacing w:before="0" w:after="60"/>
      </w:pPr>
      <w:r>
        <w:rPr>
          <w:rFonts w:ascii="Calibri" w:hAnsi="Calibri"/>
          <w:b/>
          <w:color w:val="7A5A00"/>
          <w:sz w:val="19"/>
        </w:rPr>
        <w:t>SESSION 5</w:t>
      </w:r>
    </w:p>
    <w:p>
      <w:pPr>
        <w:pStyle w:val="Heading1"/>
        <w:keepNext/>
      </w:pPr>
      <w:r>
        <w:t>Prepare for Future Costs and Unexpected Shocks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Separate predictable expenses from emergencies and choose the next realistic emergency-savings milestone.</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Tires, school costs, holidays, annual premiums, and routine repairs are repeatedly called emergencies even though they are predictable. Meanwhile, a real shock can force expensive borrowing.</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Known future expenses get a Planned-Expense Reserve. Urgent, necessary, genuinely unplanned expenses use emergency savings.</w:t>
            </w:r>
          </w:p>
        </w:tc>
      </w:tr>
    </w:tbl>
    <w:p>
      <w:pPr>
        <w:spacing w:after="0"/>
      </w:pPr>
    </w:p>
    <w:p>
      <w:pPr>
        <w:pStyle w:val="Heading2"/>
        <w:keepNext/>
      </w:pPr>
      <w:r>
        <w:t>How to solve the problem</w:t>
      </w:r>
    </w:p>
    <w:p>
      <w:pPr>
        <w:numPr>
          <w:ilvl w:val="0"/>
          <w:numId w:val="19"/>
        </w:numPr>
        <w:spacing w:before="0" w:after="80" w:line="300" w:lineRule="auto"/>
      </w:pPr>
      <w:r>
        <w:rPr>
          <w:rFonts w:ascii="Calibri" w:hAnsi="Calibri"/>
          <w:color w:val="0B2545"/>
          <w:sz w:val="22"/>
        </w:rPr>
        <w:t>List predictable nonmonthly costs and divide each by the number of paydays before it is due.</w:t>
      </w:r>
    </w:p>
    <w:p>
      <w:pPr>
        <w:numPr>
          <w:ilvl w:val="0"/>
          <w:numId w:val="19"/>
        </w:numPr>
        <w:spacing w:before="0" w:after="80" w:line="300" w:lineRule="auto"/>
      </w:pPr>
      <w:r>
        <w:rPr>
          <w:rFonts w:ascii="Calibri" w:hAnsi="Calibri"/>
          <w:color w:val="0B2545"/>
          <w:sz w:val="22"/>
        </w:rPr>
        <w:t>Create labeled Planned-Expense Reserves for the most important known costs.</w:t>
      </w:r>
    </w:p>
    <w:p>
      <w:pPr>
        <w:numPr>
          <w:ilvl w:val="0"/>
          <w:numId w:val="19"/>
        </w:numPr>
        <w:spacing w:before="0" w:after="80" w:line="300" w:lineRule="auto"/>
      </w:pPr>
      <w:r>
        <w:rPr>
          <w:rFonts w:ascii="Calibri" w:hAnsi="Calibri"/>
          <w:color w:val="0B2545"/>
          <w:sz w:val="22"/>
        </w:rPr>
        <w:t>Choose the next Emergency-Savings Milestone rather than being discouraged by one universal target.</w:t>
      </w:r>
    </w:p>
    <w:p>
      <w:pPr>
        <w:numPr>
          <w:ilvl w:val="0"/>
          <w:numId w:val="19"/>
        </w:numPr>
        <w:spacing w:before="0" w:after="80" w:line="300" w:lineRule="auto"/>
      </w:pPr>
      <w:r>
        <w:rPr>
          <w:rFonts w:ascii="Calibri" w:hAnsi="Calibri"/>
          <w:color w:val="0B2545"/>
          <w:sz w:val="22"/>
        </w:rPr>
        <w:t>Adjust the long-term target for income stability, dependents, health, deductibles, vehicle age, and household support.</w:t>
      </w:r>
    </w:p>
    <w:p>
      <w:pPr>
        <w:numPr>
          <w:ilvl w:val="0"/>
          <w:numId w:val="19"/>
        </w:numPr>
        <w:spacing w:before="0" w:after="80" w:line="300" w:lineRule="auto"/>
      </w:pPr>
      <w:r>
        <w:rPr>
          <w:rFonts w:ascii="Calibri" w:hAnsi="Calibri"/>
          <w:color w:val="0B2545"/>
          <w:sz w:val="22"/>
        </w:rPr>
        <w:t>Write what qualifies as an emergency and replenish emergency savings after use.</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Become current on one critical bill, prevent one avoidable fee, and start a micro-cushion if possible.</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Build one week, then one month, of essential costs while funding known upcoming expenses.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Build a risk-adjusted reserve plus deductible, vehicle, health, or home-repair funds.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Hold enough accessible cash to avoid selling long-term assets during an emergency.</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saves monthly for textbooks and vehicle insurance instead of putting them on a card.</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build a medical-deductible fund before accelerating a lower-rate loan.</w:t>
      </w:r>
    </w:p>
    <w:p>
      <w:pPr>
        <w:spacing w:before="0" w:after="120" w:line="300" w:lineRule="auto"/>
      </w:pPr>
      <w:r>
        <w:rPr>
          <w:rFonts w:ascii="Calibri" w:hAnsi="Calibri"/>
          <w:b/>
          <w:color w:val="0B2545"/>
          <w:sz w:val="22"/>
        </w:rPr>
        <w:t xml:space="preserve">James: </w:t>
      </w:r>
      <w:r>
        <w:rPr>
          <w:rFonts w:ascii="Calibri" w:hAnsi="Calibri"/>
          <w:i w:val="0"/>
          <w:color w:val="0B2545"/>
          <w:sz w:val="22"/>
        </w:rPr>
        <w:t>An older-car repair fund matters because reliable transportation protects his income.</w:t>
      </w:r>
    </w:p>
    <w:p>
      <w:pPr>
        <w:spacing w:before="0" w:after="120" w:line="300" w:lineRule="auto"/>
      </w:pPr>
      <w:r>
        <w:rPr>
          <w:rFonts w:ascii="Calibri" w:hAnsi="Calibri"/>
          <w:b/>
          <w:color w:val="0B2545"/>
          <w:sz w:val="22"/>
        </w:rPr>
        <w:t xml:space="preserve">Evelyn: </w:t>
      </w:r>
      <w:r>
        <w:rPr>
          <w:rFonts w:ascii="Calibri" w:hAnsi="Calibri"/>
          <w:i w:val="0"/>
          <w:color w:val="0B2545"/>
          <w:sz w:val="22"/>
        </w:rPr>
        <w:t>She creates separate targets for a home repair, her largest medical cost share, and accessible cash that does not require selling investments.</w:t>
      </w:r>
    </w:p>
    <w:p>
      <w:pPr>
        <w:pStyle w:val="Heading2"/>
        <w:keepNext/>
        <w:pageBreakBefore/>
        <w:spacing w:before="60" w:after="30" w:line="240" w:lineRule="auto"/>
      </w:pPr>
      <w:r>
        <w:rPr>
          <w:sz w:val="26"/>
        </w:rPr>
        <w:t>Working exercise: Emergency-Savings Milestones</w:t>
      </w:r>
    </w:p>
    <w:p>
      <w:pPr>
        <w:spacing w:before="0" w:after="16" w:line="240" w:lineRule="auto"/>
      </w:pPr>
      <w:r>
        <w:rPr>
          <w:rFonts w:ascii="Calibri" w:hAnsi="Calibri"/>
          <w:i w:val="0"/>
          <w:color w:val="5B6573"/>
          <w:sz w:val="18"/>
        </w:rPr>
        <w:t>Complete the next level, not every level at once.</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152"/>
        <w:gridCol w:w="5328"/>
        <w:gridCol w:w="2880"/>
      </w:tblGrid>
      <w:tr>
        <w:trPr>
          <w:tblHeader w:val="true"/>
          <w:cantSplit/>
        </w:trPr>
        <w:tc>
          <w:tcPr>
            <w:tcW w:type="dxa" w:w="1152"/>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Level</w:t>
            </w:r>
          </w:p>
        </w:tc>
        <w:tc>
          <w:tcPr>
            <w:tcW w:type="dxa" w:w="532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Target</w:t>
            </w:r>
          </w:p>
        </w:tc>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My amount / date</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1</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Become current on the next high-consequence bill</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$________ by ________</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2</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One week of the Monthly Essential-Cost Total</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$________ by ________</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3</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One month of the Monthly Essential-Cost Total</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$________ by ________</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4</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Three to six months, adjusted for real risks</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$________ by ________</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Future expense</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$________ per payday</w:t>
            </w:r>
          </w:p>
        </w:tc>
      </w:tr>
      <w:tr>
        <w:trPr>
          <w:cantSplit/>
        </w:trPr>
        <w:tc>
          <w:tcPr>
            <w:tcW w:type="dxa" w:w="1152"/>
            <w:tcMar>
              <w:top w:w="35" w:type="dxa"/>
              <w:start w:w="95" w:type="dxa"/>
              <w:bottom w:w="35" w:type="dxa"/>
              <w:end w:w="95" w:type="dxa"/>
            </w:tcMar>
            <w:vAlign w:val="center"/>
          </w:tcPr>
          <w:p>
            <w:pPr>
              <w:spacing w:after="0" w:line="240" w:lineRule="auto" w:before="0"/>
              <w:jc w:val="center"/>
            </w:pPr>
            <w:r>
              <w:rPr>
                <w:rFonts w:ascii="Calibri" w:hAnsi="Calibri"/>
                <w:color w:val="0B2545"/>
                <w:sz w:val="17"/>
              </w:rPr>
              <w:t>Emergency rule</w:t>
            </w:r>
          </w:p>
        </w:tc>
        <w:tc>
          <w:tcPr>
            <w:tcW w:type="dxa" w:w="5328"/>
            <w:tcMar>
              <w:top w:w="35" w:type="dxa"/>
              <w:start w:w="95" w:type="dxa"/>
              <w:bottom w:w="35" w:type="dxa"/>
              <w:end w:w="95" w:type="dxa"/>
            </w:tcMar>
            <w:vAlign w:val="center"/>
          </w:tcPr>
          <w:p>
            <w:pPr>
              <w:spacing w:after="0" w:line="240" w:lineRule="auto" w:before="0"/>
            </w:pPr>
            <w:r>
              <w:rPr>
                <w:rFonts w:ascii="Calibri" w:hAnsi="Calibri"/>
                <w:color w:val="0B2545"/>
                <w:sz w:val="17"/>
              </w:rPr>
              <w:t>Urgent + necessary + genuinely unplanned</w:t>
            </w:r>
          </w:p>
        </w:tc>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Reviewed: __________</w:t>
            </w:r>
          </w:p>
        </w:tc>
      </w:tr>
    </w:tbl>
    <w:p>
      <w:pPr>
        <w:pStyle w:val="Heading2"/>
        <w:keepNext/>
        <w:spacing w:before="60" w:after="30" w:line="240" w:lineRule="auto"/>
      </w:pPr>
      <w:r>
        <w:rPr>
          <w:sz w:val="22"/>
        </w:rPr>
        <w:t>Real-life questions</w:t>
      </w:r>
    </w:p>
    <w:p>
      <w:pPr>
        <w:numPr>
          <w:ilvl w:val="0"/>
          <w:numId w:val="20"/>
        </w:numPr>
        <w:spacing w:before="0" w:after="16" w:line="240" w:lineRule="auto"/>
      </w:pPr>
      <w:r>
        <w:rPr>
          <w:rFonts w:ascii="Calibri" w:hAnsi="Calibri"/>
          <w:color w:val="0B2545"/>
          <w:sz w:val="18"/>
        </w:rPr>
        <w:t>Which surprise happens almost every year?</w:t>
      </w:r>
    </w:p>
    <w:p>
      <w:pPr>
        <w:numPr>
          <w:ilvl w:val="0"/>
          <w:numId w:val="20"/>
        </w:numPr>
        <w:spacing w:before="0" w:after="16" w:line="240" w:lineRule="auto"/>
      </w:pPr>
      <w:r>
        <w:rPr>
          <w:rFonts w:ascii="Calibri" w:hAnsi="Calibri"/>
          <w:color w:val="0B2545"/>
          <w:sz w:val="18"/>
        </w:rPr>
        <w:t>What is the most likely expensive disruption in the next 12 months?</w:t>
      </w:r>
    </w:p>
    <w:p>
      <w:pPr>
        <w:numPr>
          <w:ilvl w:val="0"/>
          <w:numId w:val="20"/>
        </w:numPr>
        <w:spacing w:before="0" w:after="16" w:line="240" w:lineRule="auto"/>
      </w:pPr>
      <w:r>
        <w:rPr>
          <w:rFonts w:ascii="Calibri" w:hAnsi="Calibri"/>
          <w:color w:val="0B2545"/>
          <w:sz w:val="18"/>
        </w:rPr>
        <w:t>Which emergency-savings milestone would noticeably reduce your stress?</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List annual and irregular expenses.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Open or label one Planned-Expense Reserve.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the next Emergency-Savings Milestone.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Set the first transfer, even if it is small.</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One future expense is being funded, and the next emergency-savings milestone has an amount and target date.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Move the planned amount before flexible spending begins.</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 - STABILIZE AND REMOVE PRESSURE</w:t>
      </w:r>
    </w:p>
    <w:p>
      <w:pPr>
        <w:keepNext/>
        <w:pageBreakBefore w:val="0"/>
        <w:spacing w:before="0" w:after="60"/>
      </w:pPr>
      <w:r>
        <w:rPr>
          <w:rFonts w:ascii="Calibri" w:hAnsi="Calibri"/>
          <w:b/>
          <w:color w:val="7A5A00"/>
          <w:sz w:val="19"/>
        </w:rPr>
        <w:t>SESSION 6</w:t>
      </w:r>
    </w:p>
    <w:p>
      <w:pPr>
        <w:pStyle w:val="Heading1"/>
        <w:keepNext/>
      </w:pPr>
      <w:r>
        <w:t>Build a Debt Exit Plan</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Verify every debt, protect high-consequence obligations, and select a payoff method you can sustain.</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Minimum payments can preserve debt for years, but blindly attacking one balance can also be unsafe when housing, taxes, secured loans, child support, or other legal obligations are threatened.</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Triage by consequence first; then attack cost. Stop adding discretionary debt while the exit plan is active.</w:t>
            </w:r>
          </w:p>
        </w:tc>
      </w:tr>
    </w:tbl>
    <w:p>
      <w:pPr>
        <w:spacing w:after="0"/>
      </w:pPr>
    </w:p>
    <w:p>
      <w:pPr>
        <w:pStyle w:val="Heading2"/>
        <w:keepNext/>
      </w:pPr>
      <w:r>
        <w:t>How to solve the problem</w:t>
      </w:r>
    </w:p>
    <w:p>
      <w:pPr>
        <w:numPr>
          <w:ilvl w:val="0"/>
          <w:numId w:val="21"/>
        </w:numPr>
        <w:spacing w:before="0" w:after="80" w:line="300" w:lineRule="auto"/>
      </w:pPr>
      <w:r>
        <w:rPr>
          <w:rFonts w:ascii="Calibri" w:hAnsi="Calibri"/>
          <w:color w:val="0B2545"/>
          <w:sz w:val="22"/>
        </w:rPr>
        <w:t>Verify the balance, owner, interest rate, minimum, status, collateral, and due date of each debt.</w:t>
      </w:r>
    </w:p>
    <w:p>
      <w:pPr>
        <w:numPr>
          <w:ilvl w:val="0"/>
          <w:numId w:val="21"/>
        </w:numPr>
        <w:spacing w:before="0" w:after="80" w:line="300" w:lineRule="auto"/>
      </w:pPr>
      <w:r>
        <w:rPr>
          <w:rFonts w:ascii="Calibri" w:hAnsi="Calibri"/>
          <w:color w:val="0B2545"/>
          <w:sz w:val="22"/>
        </w:rPr>
        <w:t>Mark secured debt, taxes, child support, court deadlines, collections, payday loans, and title loans because their consequences differ.</w:t>
      </w:r>
    </w:p>
    <w:p>
      <w:pPr>
        <w:numPr>
          <w:ilvl w:val="0"/>
          <w:numId w:val="21"/>
        </w:numPr>
        <w:spacing w:before="0" w:after="80" w:line="300" w:lineRule="auto"/>
      </w:pPr>
      <w:r>
        <w:rPr>
          <w:rFonts w:ascii="Calibri" w:hAnsi="Calibri"/>
          <w:color w:val="0B2545"/>
          <w:sz w:val="22"/>
        </w:rPr>
        <w:t>Protect essentials and high-consequence obligations before voluntary extra payments.</w:t>
      </w:r>
    </w:p>
    <w:p>
      <w:pPr>
        <w:numPr>
          <w:ilvl w:val="0"/>
          <w:numId w:val="21"/>
        </w:numPr>
        <w:spacing w:before="0" w:after="80" w:line="300" w:lineRule="auto"/>
      </w:pPr>
      <w:r>
        <w:rPr>
          <w:rFonts w:ascii="Calibri" w:hAnsi="Calibri"/>
          <w:color w:val="0B2545"/>
          <w:sz w:val="22"/>
        </w:rPr>
        <w:t>Use highest-interest-first as the mathematical default, smallest-balance-first when quick wins are needed, or document a deliberate hybrid.</w:t>
      </w:r>
    </w:p>
    <w:p>
      <w:pPr>
        <w:numPr>
          <w:ilvl w:val="0"/>
          <w:numId w:val="21"/>
        </w:numPr>
        <w:spacing w:before="0" w:after="80" w:line="300" w:lineRule="auto"/>
      </w:pPr>
      <w:r>
        <w:rPr>
          <w:rFonts w:ascii="Calibri" w:hAnsi="Calibri"/>
          <w:color w:val="0B2545"/>
          <w:sz w:val="22"/>
        </w:rPr>
        <w:t>Contact creditors early and obtain any agreement in writing.</w:t>
      </w:r>
    </w:p>
    <w:p>
      <w:pPr>
        <w:numPr>
          <w:ilvl w:val="0"/>
          <w:numId w:val="21"/>
        </w:numPr>
        <w:spacing w:before="0" w:after="80" w:line="300" w:lineRule="auto"/>
      </w:pPr>
      <w:r>
        <w:rPr>
          <w:rFonts w:ascii="Calibri" w:hAnsi="Calibri"/>
          <w:color w:val="0B2545"/>
          <w:sz w:val="22"/>
        </w:rPr>
        <w:t>Compare total cost, fees, collateral risk, and term before considering consolidation or settlement. Guaranteed results and upfront settlement fees are warning signs.</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Triage by consequence, request hardship or legal help, and avoid payday- and title-loan cycles.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Keep minimums current and choose one payoff target you can sustain.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Accelerate high-cost debt while weighing cash reserves and available employer matching money.</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Avoid co-signing and liens; resolve debts that could threaten property or complicate transfer.</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Jordan: </w:t>
      </w:r>
      <w:r>
        <w:rPr>
          <w:rFonts w:ascii="Calibri" w:hAnsi="Calibri"/>
          <w:i w:val="0"/>
          <w:color w:val="0B2545"/>
          <w:sz w:val="22"/>
        </w:rPr>
        <w:t>A title-loan offer would put work transportation at risk. Jordan requests hardship options and qualified nonprofit or legal help instead.</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keep the current vehicle loans current while targeting their highest-rate card.</w:t>
      </w:r>
    </w:p>
    <w:p>
      <w:pPr>
        <w:spacing w:before="0" w:after="120" w:line="300" w:lineRule="auto"/>
      </w:pPr>
      <w:r>
        <w:rPr>
          <w:rFonts w:ascii="Calibri" w:hAnsi="Calibri"/>
          <w:b/>
          <w:color w:val="0B2545"/>
          <w:sz w:val="22"/>
        </w:rPr>
        <w:t xml:space="preserve">James: </w:t>
      </w:r>
      <w:r>
        <w:rPr>
          <w:rFonts w:ascii="Calibri" w:hAnsi="Calibri"/>
          <w:i w:val="0"/>
          <w:color w:val="0B2545"/>
          <w:sz w:val="22"/>
        </w:rPr>
        <w:t>He targets a 25% credit-card balance before increasing investing beyond his available employer match.</w:t>
      </w:r>
    </w:p>
    <w:p>
      <w:pPr>
        <w:spacing w:before="0" w:after="120" w:line="300" w:lineRule="auto"/>
      </w:pPr>
      <w:r>
        <w:rPr>
          <w:rFonts w:ascii="Calibri" w:hAnsi="Calibri"/>
          <w:b/>
          <w:color w:val="0B2545"/>
          <w:sz w:val="22"/>
        </w:rPr>
        <w:t xml:space="preserve">Evelyn: </w:t>
      </w:r>
      <w:r>
        <w:rPr>
          <w:rFonts w:ascii="Calibri" w:hAnsi="Calibri"/>
          <w:i w:val="0"/>
          <w:color w:val="0B2545"/>
          <w:sz w:val="22"/>
        </w:rPr>
        <w:t>She declines to co-sign a relative's loan until she understands that she would owe the full debt and her own fixed income could be harmed.</w:t>
      </w:r>
    </w:p>
    <w:p>
      <w:pPr>
        <w:pStyle w:val="Heading2"/>
        <w:keepNext/>
        <w:pageBreakBefore/>
        <w:spacing w:before="60" w:after="30" w:line="240" w:lineRule="auto"/>
      </w:pPr>
      <w:r>
        <w:rPr>
          <w:sz w:val="26"/>
        </w:rPr>
        <w:t>Working exercise: Debt-Payment Priority Review</w:t>
      </w:r>
    </w:p>
    <w:p>
      <w:pPr>
        <w:spacing w:before="0" w:after="16" w:line="240" w:lineRule="auto"/>
      </w:pPr>
      <w:r>
        <w:rPr>
          <w:rFonts w:ascii="Calibri" w:hAnsi="Calibri"/>
          <w:i w:val="0"/>
          <w:color w:val="5B6573"/>
          <w:sz w:val="18"/>
        </w:rPr>
        <w:t>Add every balance. Mark disputed or unknown items for verification.</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232"/>
        <w:gridCol w:w="1944"/>
        <w:gridCol w:w="2232"/>
        <w:gridCol w:w="2952"/>
      </w:tblGrid>
      <w:tr>
        <w:trPr>
          <w:tblHeader w:val="true"/>
          <w:cantSplit/>
        </w:trPr>
        <w:tc>
          <w:tcPr>
            <w:tcW w:type="dxa" w:w="223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Debt / owner</w:t>
            </w:r>
          </w:p>
        </w:tc>
        <w:tc>
          <w:tcPr>
            <w:tcW w:type="dxa" w:w="194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Balance / APR</w:t>
            </w:r>
          </w:p>
        </w:tc>
        <w:tc>
          <w:tcPr>
            <w:tcW w:type="dxa" w:w="223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Minimum / status</w:t>
            </w:r>
          </w:p>
        </w:tc>
        <w:tc>
          <w:tcPr>
            <w:tcW w:type="dxa" w:w="295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Priority / next action</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 / 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 /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 / 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 /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 / 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 /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 / 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 /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 / 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$______ /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r>
      <w:tr>
        <w:trPr>
          <w:cantSplit/>
        </w:trPr>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First target</w:t>
            </w:r>
          </w:p>
        </w:tc>
        <w:tc>
          <w:tcPr>
            <w:tcW w:type="dxa" w:w="194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232"/>
            <w:tcMar>
              <w:top w:w="35" w:type="dxa"/>
              <w:start w:w="95" w:type="dxa"/>
              <w:bottom w:w="35" w:type="dxa"/>
              <w:end w:w="95" w:type="dxa"/>
            </w:tcMar>
            <w:vAlign w:val="center"/>
          </w:tcPr>
          <w:p>
            <w:pPr>
              <w:spacing w:after="0" w:line="240" w:lineRule="auto" w:before="0"/>
            </w:pPr>
            <w:r>
              <w:rPr>
                <w:rFonts w:ascii="Calibri" w:hAnsi="Calibri"/>
                <w:color w:val="0B2545"/>
                <w:sz w:val="17"/>
              </w:rPr>
              <w:t>Extra: $________</w:t>
            </w:r>
          </w:p>
        </w:tc>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Date: __________</w:t>
            </w:r>
          </w:p>
        </w:tc>
      </w:tr>
    </w:tbl>
    <w:p>
      <w:pPr>
        <w:pStyle w:val="Heading2"/>
        <w:keepNext/>
        <w:spacing w:before="60" w:after="30" w:line="240" w:lineRule="auto"/>
      </w:pPr>
      <w:r>
        <w:rPr>
          <w:sz w:val="22"/>
        </w:rPr>
        <w:t>Real-life questions</w:t>
      </w:r>
    </w:p>
    <w:p>
      <w:pPr>
        <w:numPr>
          <w:ilvl w:val="0"/>
          <w:numId w:val="22"/>
        </w:numPr>
        <w:spacing w:before="0" w:after="16" w:line="240" w:lineRule="auto"/>
      </w:pPr>
      <w:r>
        <w:rPr>
          <w:rFonts w:ascii="Calibri" w:hAnsi="Calibri"/>
          <w:color w:val="0B2545"/>
          <w:sz w:val="18"/>
        </w:rPr>
        <w:t>Which debt creates the greatest immediate danger?</w:t>
      </w:r>
    </w:p>
    <w:p>
      <w:pPr>
        <w:numPr>
          <w:ilvl w:val="0"/>
          <w:numId w:val="22"/>
        </w:numPr>
        <w:spacing w:before="0" w:after="16" w:line="240" w:lineRule="auto"/>
      </w:pPr>
      <w:r>
        <w:rPr>
          <w:rFonts w:ascii="Calibri" w:hAnsi="Calibri"/>
          <w:color w:val="0B2545"/>
          <w:sz w:val="18"/>
        </w:rPr>
        <w:t>Which payoff method will you actually continue?</w:t>
      </w:r>
    </w:p>
    <w:p>
      <w:pPr>
        <w:numPr>
          <w:ilvl w:val="0"/>
          <w:numId w:val="22"/>
        </w:numPr>
        <w:spacing w:before="0" w:after="16" w:line="240" w:lineRule="auto"/>
      </w:pPr>
      <w:r>
        <w:rPr>
          <w:rFonts w:ascii="Calibri" w:hAnsi="Calibri"/>
          <w:color w:val="0B2545"/>
          <w:sz w:val="18"/>
        </w:rPr>
        <w:t>What new borrowing behavior must stop so the balance stays gone?</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Debt-Payment Priority Review.</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the first target and payment date.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Make or prepare one creditor call or written request.</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Freeze new discretionary borrowing.</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verified debt list and one clear next action, even if that action is negotiation rather than an extra payment.</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Make required payments and the planned extra payment before funding additional wants.</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 - STABILIZE AND REMOVE PRESSURE</w:t>
      </w:r>
    </w:p>
    <w:p>
      <w:pPr>
        <w:keepNext/>
        <w:pageBreakBefore w:val="0"/>
        <w:spacing w:before="0" w:after="60"/>
      </w:pPr>
      <w:r>
        <w:rPr>
          <w:rFonts w:ascii="Calibri" w:hAnsi="Calibri"/>
          <w:b/>
          <w:color w:val="7A5A00"/>
          <w:sz w:val="19"/>
        </w:rPr>
        <w:t>SESSION 7</w:t>
      </w:r>
    </w:p>
    <w:p>
      <w:pPr>
        <w:pStyle w:val="Heading1"/>
        <w:keepNext/>
      </w:pPr>
      <w:r>
        <w:t>Use Credit Without Depending on It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Understand reports, scores, interest, and fraud protection without treating credit as income.</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A high score can coexist with no savings and heavy debt. Credit is often used to bridge ordinary wants, and marketing turns rewards or a small payment into permission to overspend.</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A credit limit is not available spending money. A score measures borrowing behavior; it does not measure wealth, security, or character.</w:t>
            </w:r>
          </w:p>
        </w:tc>
      </w:tr>
    </w:tbl>
    <w:p>
      <w:pPr>
        <w:spacing w:after="0"/>
      </w:pPr>
    </w:p>
    <w:p>
      <w:pPr>
        <w:pStyle w:val="Heading2"/>
        <w:keepNext/>
      </w:pPr>
      <w:r>
        <w:t>How to solve the problem</w:t>
      </w:r>
    </w:p>
    <w:p>
      <w:pPr>
        <w:numPr>
          <w:ilvl w:val="0"/>
          <w:numId w:val="23"/>
        </w:numPr>
        <w:spacing w:before="0" w:after="80" w:line="300" w:lineRule="auto"/>
      </w:pPr>
      <w:r>
        <w:rPr>
          <w:rFonts w:ascii="Calibri" w:hAnsi="Calibri"/>
          <w:color w:val="0B2545"/>
          <w:sz w:val="22"/>
        </w:rPr>
        <w:t>Review reports from all three nationwide credit bureaus through the federally authorized source.</w:t>
      </w:r>
    </w:p>
    <w:p>
      <w:pPr>
        <w:numPr>
          <w:ilvl w:val="0"/>
          <w:numId w:val="23"/>
        </w:numPr>
        <w:spacing w:before="0" w:after="80" w:line="300" w:lineRule="auto"/>
      </w:pPr>
      <w:r>
        <w:rPr>
          <w:rFonts w:ascii="Calibri" w:hAnsi="Calibri"/>
          <w:color w:val="0B2545"/>
          <w:sz w:val="22"/>
        </w:rPr>
        <w:t>Dispute errors with both the credit-reporting company and the company that supplied the information.</w:t>
      </w:r>
    </w:p>
    <w:p>
      <w:pPr>
        <w:numPr>
          <w:ilvl w:val="0"/>
          <w:numId w:val="23"/>
        </w:numPr>
        <w:spacing w:before="0" w:after="80" w:line="300" w:lineRule="auto"/>
      </w:pPr>
      <w:r>
        <w:rPr>
          <w:rFonts w:ascii="Calibri" w:hAnsi="Calibri"/>
          <w:color w:val="0B2545"/>
          <w:sz w:val="22"/>
        </w:rPr>
        <w:t>Learn APR, fees, term, grace period, utilization, and total repayment cost.</w:t>
      </w:r>
    </w:p>
    <w:p>
      <w:pPr>
        <w:numPr>
          <w:ilvl w:val="0"/>
          <w:numId w:val="23"/>
        </w:numPr>
        <w:spacing w:before="0" w:after="80" w:line="300" w:lineRule="auto"/>
      </w:pPr>
      <w:r>
        <w:rPr>
          <w:rFonts w:ascii="Calibri" w:hAnsi="Calibri"/>
          <w:color w:val="0B2545"/>
          <w:sz w:val="22"/>
        </w:rPr>
        <w:t>Consider free credit freezes and account alerts to reduce identity-theft risk.</w:t>
      </w:r>
    </w:p>
    <w:p>
      <w:pPr>
        <w:numPr>
          <w:ilvl w:val="0"/>
          <w:numId w:val="23"/>
        </w:numPr>
        <w:spacing w:before="0" w:after="80" w:line="300" w:lineRule="auto"/>
      </w:pPr>
      <w:r>
        <w:rPr>
          <w:rFonts w:ascii="Calibri" w:hAnsi="Calibri"/>
          <w:color w:val="0B2545"/>
          <w:sz w:val="22"/>
        </w:rPr>
        <w:t>Nobody must open a credit card to complete this course. If a card is used for a planned bill, the cash must already exist and the statement balance must be paid in full. Wants and enjoyment remain cash, debit, or prepaid only.</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Review reports, dispute errors, freeze credit, and stop new high-cost borrowing.</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Use a card only for a planned bill when the cash already exists; pay the statement in full.</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Shop rates and terms only for a defined purpose that fits the complete plan.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Maintain freezes, alerts, trusted contacts, and fraud controls for every household member.</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declines a campus card promotion until she understands the terms and has stable cash flow.</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refuse to finance furniture merely because the monthly payment looks small.</w:t>
      </w:r>
    </w:p>
    <w:p>
      <w:pPr>
        <w:spacing w:before="0" w:after="120" w:line="300" w:lineRule="auto"/>
      </w:pPr>
      <w:r>
        <w:rPr>
          <w:rFonts w:ascii="Calibri" w:hAnsi="Calibri"/>
          <w:b/>
          <w:color w:val="0B2545"/>
          <w:sz w:val="22"/>
        </w:rPr>
        <w:t xml:space="preserve">James: </w:t>
      </w:r>
      <w:r>
        <w:rPr>
          <w:rFonts w:ascii="Calibri" w:hAnsi="Calibri"/>
          <w:i w:val="0"/>
          <w:color w:val="0B2545"/>
          <w:sz w:val="22"/>
        </w:rPr>
        <w:t>He checks his reports before shopping for replacement transportation.</w:t>
      </w:r>
    </w:p>
    <w:p>
      <w:pPr>
        <w:spacing w:before="0" w:after="120" w:line="300" w:lineRule="auto"/>
      </w:pPr>
      <w:r>
        <w:rPr>
          <w:rFonts w:ascii="Calibri" w:hAnsi="Calibri"/>
          <w:b/>
          <w:color w:val="0B2545"/>
          <w:sz w:val="22"/>
        </w:rPr>
        <w:t xml:space="preserve">Evelyn: </w:t>
      </w:r>
      <w:r>
        <w:rPr>
          <w:rFonts w:ascii="Calibri" w:hAnsi="Calibri"/>
          <w:i w:val="0"/>
          <w:color w:val="0B2545"/>
          <w:sz w:val="22"/>
        </w:rPr>
        <w:t>She freezes her reports, enables alerts, and names a trusted contact without giving that person her password.</w:t>
      </w:r>
    </w:p>
    <w:p>
      <w:pPr>
        <w:pStyle w:val="Heading2"/>
        <w:keepNext/>
        <w:pageBreakBefore/>
        <w:spacing w:before="60" w:after="30" w:line="240" w:lineRule="auto"/>
      </w:pPr>
      <w:r>
        <w:rPr>
          <w:sz w:val="26"/>
        </w:rPr>
        <w:t>Working exercise: Credit action sheet</w:t>
      </w:r>
    </w:p>
    <w:p>
      <w:pPr>
        <w:spacing w:before="0" w:after="16" w:line="240" w:lineRule="auto"/>
      </w:pPr>
      <w:r>
        <w:rPr>
          <w:rFonts w:ascii="Calibri" w:hAnsi="Calibri"/>
          <w:i w:val="0"/>
          <w:color w:val="5B6573"/>
          <w:sz w:val="18"/>
        </w:rPr>
        <w:t>Do not write full account numbers in a workbook that may be shared or lost.</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880"/>
        <w:gridCol w:w="3096"/>
        <w:gridCol w:w="3384"/>
      </w:tblGrid>
      <w:tr>
        <w:trPr>
          <w:tblHeader w:val="true"/>
          <w:cantSplit/>
        </w:trPr>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Review item</w:t>
            </w:r>
          </w:p>
        </w:tc>
        <w:tc>
          <w:tcPr>
            <w:tcW w:type="dxa" w:w="30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Result</w:t>
            </w:r>
          </w:p>
        </w:tc>
        <w:tc>
          <w:tcPr>
            <w:tcW w:type="dxa" w:w="338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 / date</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Equifax report</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Clear / issue / not reviewed</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Experian report</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Clear / issue / not reviewed</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TransUnion report</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Clear / issue / not reviewed</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Credit freeze / alerts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Complete / planned</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Card payoff status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Paid in full / balance / none</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My credit-use rule</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Review: _____________</w:t>
            </w:r>
          </w:p>
        </w:tc>
      </w:tr>
    </w:tbl>
    <w:p>
      <w:pPr>
        <w:pStyle w:val="Heading2"/>
        <w:keepNext/>
        <w:spacing w:before="60" w:after="30" w:line="240" w:lineRule="auto"/>
      </w:pPr>
      <w:r>
        <w:rPr>
          <w:sz w:val="22"/>
        </w:rPr>
        <w:t>Real-life questions</w:t>
      </w:r>
    </w:p>
    <w:p>
      <w:pPr>
        <w:numPr>
          <w:ilvl w:val="0"/>
          <w:numId w:val="24"/>
        </w:numPr>
        <w:spacing w:before="0" w:after="16" w:line="240" w:lineRule="auto"/>
      </w:pPr>
      <w:r>
        <w:rPr>
          <w:rFonts w:ascii="Calibri" w:hAnsi="Calibri"/>
          <w:color w:val="0B2545"/>
          <w:sz w:val="18"/>
        </w:rPr>
        <w:t>When does a score matter, and when does it distract from the real issue?</w:t>
      </w:r>
    </w:p>
    <w:p>
      <w:pPr>
        <w:numPr>
          <w:ilvl w:val="0"/>
          <w:numId w:val="24"/>
        </w:numPr>
        <w:spacing w:before="0" w:after="16" w:line="240" w:lineRule="auto"/>
      </w:pPr>
      <w:r>
        <w:rPr>
          <w:rFonts w:ascii="Calibri" w:hAnsi="Calibri"/>
          <w:color w:val="0B2545"/>
          <w:sz w:val="18"/>
        </w:rPr>
        <w:t>What purchase are you most tempted to justify with points or a small payment?</w:t>
      </w:r>
    </w:p>
    <w:p>
      <w:pPr>
        <w:numPr>
          <w:ilvl w:val="0"/>
          <w:numId w:val="24"/>
        </w:numPr>
        <w:spacing w:before="0" w:after="16" w:line="240" w:lineRule="auto"/>
      </w:pPr>
      <w:r>
        <w:rPr>
          <w:rFonts w:ascii="Calibri" w:hAnsi="Calibri"/>
          <w:color w:val="0B2545"/>
          <w:sz w:val="18"/>
        </w:rPr>
        <w:t>Which rule would protect you in your weakest spending moment?</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Review all three credit reports.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Calculate the total cost of one credit offer.</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Set a freeze or account alerts where appropriate.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Write your personal credit-use rule.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Reports have been reviewed, one error or protection step is addressed, and the no-credit-for-splurges rule is written.</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If you use a card for a planned bill, reserve that exact cash immediately; otherwise use checking or debit.</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III - MAKE LARGE DECISIONS WELL</w:t>
      </w:r>
    </w:p>
    <w:p>
      <w:pPr>
        <w:keepNext/>
        <w:pageBreakBefore w:val="0"/>
        <w:spacing w:before="0" w:after="60"/>
      </w:pPr>
      <w:r>
        <w:rPr>
          <w:rFonts w:ascii="Calibri" w:hAnsi="Calibri"/>
          <w:b/>
          <w:color w:val="7A5A00"/>
          <w:sz w:val="19"/>
        </w:rPr>
        <w:t>SESSION 8</w:t>
      </w:r>
    </w:p>
    <w:p>
      <w:pPr>
        <w:pStyle w:val="Heading1"/>
        <w:keepNext/>
      </w:pPr>
      <w:r>
        <w:t>Transportation: Buy the Ride, Not the Payment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Compare repairing, keeping, or replacing a vehicle using total ownership cost.</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Vehicles are sold by monthly payment while price, interest, insurance, taxes, fuel, repairs, depreciation, loan length, and negative equity remain out of sight.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Reliable transportation is the goal. Being able to make the payment is not the same as being able to afford the vehicle.</w:t>
            </w:r>
          </w:p>
        </w:tc>
      </w:tr>
    </w:tbl>
    <w:p>
      <w:pPr>
        <w:spacing w:after="0"/>
      </w:pPr>
    </w:p>
    <w:p>
      <w:pPr>
        <w:pStyle w:val="Heading2"/>
        <w:keepNext/>
      </w:pPr>
      <w:r>
        <w:t>How to solve the problem</w:t>
      </w:r>
    </w:p>
    <w:p>
      <w:pPr>
        <w:numPr>
          <w:ilvl w:val="0"/>
          <w:numId w:val="25"/>
        </w:numPr>
        <w:spacing w:before="0" w:after="80" w:line="300" w:lineRule="auto"/>
      </w:pPr>
      <w:r>
        <w:rPr>
          <w:rFonts w:ascii="Calibri" w:hAnsi="Calibri"/>
          <w:color w:val="0B2545"/>
          <w:sz w:val="22"/>
        </w:rPr>
        <w:t>Write the transportation function first: work, school, caregiving, medical care, distance, road conditions, number of drivers, and accessibility needs.</w:t>
      </w:r>
    </w:p>
    <w:p>
      <w:pPr>
        <w:numPr>
          <w:ilvl w:val="0"/>
          <w:numId w:val="25"/>
        </w:numPr>
        <w:spacing w:before="0" w:after="80" w:line="300" w:lineRule="auto"/>
      </w:pPr>
      <w:r>
        <w:rPr>
          <w:rFonts w:ascii="Calibri" w:hAnsi="Calibri"/>
          <w:color w:val="0B2545"/>
          <w:sz w:val="22"/>
        </w:rPr>
        <w:t>Compare keeping, repairing, buying used, and buying new by total cost rather than image or payment.</w:t>
      </w:r>
    </w:p>
    <w:p>
      <w:pPr>
        <w:numPr>
          <w:ilvl w:val="0"/>
          <w:numId w:val="25"/>
        </w:numPr>
        <w:spacing w:before="0" w:after="80" w:line="300" w:lineRule="auto"/>
      </w:pPr>
      <w:r>
        <w:rPr>
          <w:rFonts w:ascii="Calibri" w:hAnsi="Calibri"/>
          <w:color w:val="0B2545"/>
          <w:sz w:val="22"/>
        </w:rPr>
        <w:t>Obtain an insurance quote and an independent inspection before buying.</w:t>
      </w:r>
    </w:p>
    <w:p>
      <w:pPr>
        <w:numPr>
          <w:ilvl w:val="0"/>
          <w:numId w:val="25"/>
        </w:numPr>
        <w:spacing w:before="0" w:after="80" w:line="300" w:lineRule="auto"/>
      </w:pPr>
      <w:r>
        <w:rPr>
          <w:rFonts w:ascii="Calibri" w:hAnsi="Calibri"/>
          <w:color w:val="0B2545"/>
          <w:sz w:val="22"/>
        </w:rPr>
        <w:t>Do not roll negative equity into another loan without understanding the full cost and risk.</w:t>
      </w:r>
    </w:p>
    <w:p>
      <w:pPr>
        <w:numPr>
          <w:ilvl w:val="0"/>
          <w:numId w:val="25"/>
        </w:numPr>
        <w:spacing w:before="0" w:after="80" w:line="300" w:lineRule="auto"/>
      </w:pPr>
      <w:r>
        <w:rPr>
          <w:rFonts w:ascii="Calibri" w:hAnsi="Calibri"/>
          <w:color w:val="0B2545"/>
          <w:sz w:val="22"/>
        </w:rPr>
        <w:t>Create a repair and future-replacement fund.</w:t>
      </w:r>
    </w:p>
    <w:p>
      <w:pPr>
        <w:numPr>
          <w:ilvl w:val="0"/>
          <w:numId w:val="25"/>
        </w:numPr>
        <w:spacing w:before="0" w:after="80" w:line="300" w:lineRule="auto"/>
      </w:pPr>
      <w:r>
        <w:rPr>
          <w:rFonts w:ascii="Calibri" w:hAnsi="Calibri"/>
          <w:color w:val="0B2545"/>
          <w:sz w:val="22"/>
        </w:rPr>
        <w:t>Complete the Large-Purchase Affordability Review and wait at least 72 hours after receiving final numbers.</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Protect safe access to work and care; prioritize repair, insurance, and alternatives to title loans.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Fund repairs and replacement while comparing total ownership cost.</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Buy or replace only when full cost preserves savings, debt, and retirement goals.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Plan for accessible transportation, safe driving changes, title records, and eventual transfer.</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Jordan: </w:t>
      </w:r>
      <w:r>
        <w:rPr>
          <w:rFonts w:ascii="Calibri" w:hAnsi="Calibri"/>
          <w:i w:val="0"/>
          <w:color w:val="0B2545"/>
          <w:sz w:val="22"/>
        </w:rPr>
        <w:t>With no useful transit to work or caregiving stops, a prioritized repair and shared-ride backup protect income without creating a title loan.</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keep a safe paid-for sedan rather than replacing both vehicles simply because they combined households.</w:t>
      </w:r>
    </w:p>
    <w:p>
      <w:pPr>
        <w:spacing w:before="0" w:after="120" w:line="300" w:lineRule="auto"/>
      </w:pPr>
      <w:r>
        <w:rPr>
          <w:rFonts w:ascii="Calibri" w:hAnsi="Calibri"/>
          <w:b/>
          <w:color w:val="0B2545"/>
          <w:sz w:val="22"/>
        </w:rPr>
        <w:t xml:space="preserve">James: </w:t>
      </w:r>
      <w:r>
        <w:rPr>
          <w:rFonts w:ascii="Calibri" w:hAnsi="Calibri"/>
          <w:i w:val="0"/>
          <w:color w:val="0B2545"/>
          <w:sz w:val="22"/>
        </w:rPr>
        <w:t>His truck costs about $980 a month with payment, insurance, and fuel. A less expensive inspected vehicle could restore several hundred dollars of monthly margin.</w:t>
      </w:r>
    </w:p>
    <w:p>
      <w:pPr>
        <w:spacing w:before="0" w:after="120" w:line="300" w:lineRule="auto"/>
      </w:pPr>
      <w:r>
        <w:rPr>
          <w:rFonts w:ascii="Calibri" w:hAnsi="Calibri"/>
          <w:b/>
          <w:color w:val="0B2545"/>
          <w:sz w:val="22"/>
        </w:rPr>
        <w:t xml:space="preserve">Evelyn: </w:t>
      </w:r>
      <w:r>
        <w:rPr>
          <w:rFonts w:ascii="Calibri" w:hAnsi="Calibri"/>
          <w:i w:val="0"/>
          <w:color w:val="0B2545"/>
          <w:sz w:val="22"/>
        </w:rPr>
        <w:t>She plans how medical trips will work if night driving becomes unsafe and keeps the title and service records where family can locate them.</w:t>
      </w:r>
    </w:p>
    <w:p>
      <w:pPr>
        <w:pStyle w:val="Heading2"/>
        <w:keepNext/>
        <w:pageBreakBefore/>
        <w:spacing w:before="60" w:after="30" w:line="240" w:lineRule="auto"/>
      </w:pPr>
      <w:r>
        <w:rPr>
          <w:sz w:val="26"/>
        </w:rPr>
        <w:t>Working exercise: Large-Purchase Affordability Review</w:t>
      </w:r>
    </w:p>
    <w:p>
      <w:pPr>
        <w:spacing w:before="0" w:after="16" w:line="240" w:lineRule="auto"/>
      </w:pPr>
      <w:r>
        <w:rPr>
          <w:rFonts w:ascii="Calibri" w:hAnsi="Calibri"/>
          <w:i w:val="0"/>
          <w:color w:val="5B6573"/>
          <w:sz w:val="18"/>
        </w:rPr>
        <w:t>Compare at least two options. Include the costs a dealer payment leaves out.</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3600"/>
        <w:gridCol w:w="2880"/>
        <w:gridCol w:w="2880"/>
      </w:tblGrid>
      <w:tr>
        <w:trPr>
          <w:tblHeader w:val="true"/>
          <w:cantSplit/>
        </w:trPr>
        <w:tc>
          <w:tcPr>
            <w:tcW w:type="dxa" w:w="360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Cost or condition</w:t>
            </w:r>
          </w:p>
        </w:tc>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Keep / repair</w:t>
            </w:r>
          </w:p>
        </w:tc>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Replacement option</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Purchase / repair price</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Payment and interest</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Insurance, tax, registration</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Fuel and maintenance</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Work / care access and miles</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Other drivers / accessibility</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Emergency savings remaining</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Savings / debt goals continue?</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Yes / No</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Yes / No</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Independent inspection</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Result: 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Result: __________</w:t>
            </w:r>
          </w:p>
        </w:tc>
      </w:tr>
      <w:tr>
        <w:trPr>
          <w:cantSplit/>
        </w:trPr>
        <w:tc>
          <w:tcPr>
            <w:tcW w:type="dxa" w:w="3600"/>
            <w:tcMar>
              <w:top w:w="35" w:type="dxa"/>
              <w:start w:w="95" w:type="dxa"/>
              <w:bottom w:w="35" w:type="dxa"/>
              <w:end w:w="95" w:type="dxa"/>
            </w:tcMar>
            <w:vAlign w:val="center"/>
          </w:tcPr>
          <w:p>
            <w:pPr>
              <w:spacing w:after="0" w:line="240" w:lineRule="auto" w:before="0"/>
            </w:pPr>
            <w:r>
              <w:rPr>
                <w:rFonts w:ascii="Calibri" w:hAnsi="Calibri"/>
                <w:color w:val="0B2545"/>
                <w:sz w:val="17"/>
              </w:rPr>
              <w:t>72-hour wait complete</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Date: __________</w:t>
            </w:r>
          </w:p>
        </w:tc>
        <w:tc>
          <w:tcPr>
            <w:tcW w:type="dxa" w:w="2880"/>
            <w:tcMar>
              <w:top w:w="35" w:type="dxa"/>
              <w:start w:w="95" w:type="dxa"/>
              <w:bottom w:w="35" w:type="dxa"/>
              <w:end w:w="95" w:type="dxa"/>
            </w:tcMar>
            <w:vAlign w:val="center"/>
          </w:tcPr>
          <w:p>
            <w:pPr>
              <w:spacing w:after="0" w:line="240" w:lineRule="auto" w:before="0"/>
              <w:jc w:val="right"/>
            </w:pPr>
            <w:r>
              <w:rPr>
                <w:rFonts w:ascii="Calibri" w:hAnsi="Calibri"/>
                <w:color w:val="0B2545"/>
                <w:sz w:val="17"/>
              </w:rPr>
              <w:t>Date: __________</w:t>
            </w:r>
          </w:p>
        </w:tc>
      </w:tr>
    </w:tbl>
    <w:p>
      <w:pPr>
        <w:pStyle w:val="Heading2"/>
        <w:keepNext/>
        <w:spacing w:before="60" w:after="30" w:line="240" w:lineRule="auto"/>
      </w:pPr>
      <w:r>
        <w:rPr>
          <w:sz w:val="22"/>
        </w:rPr>
        <w:t>Real-life questions</w:t>
      </w:r>
    </w:p>
    <w:p>
      <w:pPr>
        <w:numPr>
          <w:ilvl w:val="0"/>
          <w:numId w:val="26"/>
        </w:numPr>
        <w:spacing w:before="0" w:after="16" w:line="240" w:lineRule="auto"/>
      </w:pPr>
      <w:r>
        <w:rPr>
          <w:rFonts w:ascii="Calibri" w:hAnsi="Calibri"/>
          <w:color w:val="0B2545"/>
          <w:sz w:val="18"/>
        </w:rPr>
        <w:t>What transportation function do you actually need?</w:t>
      </w:r>
    </w:p>
    <w:p>
      <w:pPr>
        <w:numPr>
          <w:ilvl w:val="0"/>
          <w:numId w:val="26"/>
        </w:numPr>
        <w:spacing w:before="0" w:after="16" w:line="240" w:lineRule="auto"/>
      </w:pPr>
      <w:r>
        <w:rPr>
          <w:rFonts w:ascii="Calibri" w:hAnsi="Calibri"/>
          <w:color w:val="0B2545"/>
          <w:sz w:val="18"/>
        </w:rPr>
        <w:t>How much of the desire for a different vehicle comes from image?</w:t>
      </w:r>
    </w:p>
    <w:p>
      <w:pPr>
        <w:numPr>
          <w:ilvl w:val="0"/>
          <w:numId w:val="26"/>
        </w:numPr>
        <w:spacing w:before="0" w:after="16" w:line="240" w:lineRule="auto"/>
      </w:pPr>
      <w:r>
        <w:rPr>
          <w:rFonts w:ascii="Calibri" w:hAnsi="Calibri"/>
          <w:color w:val="0B2545"/>
          <w:sz w:val="18"/>
        </w:rPr>
        <w:t>At what repair cost would replacement become reasonable, assuming the current vehicle is safe?</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Calculate current all-in transportation cost.</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a repair-versus-replace comparison.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Set an all-in maximum before shopping.</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Price insurance and financing independently.</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written total-cost ceiling and a completed Large-Purchase Affordability Review before any purchase.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Transfer the planned repair or replacement amount. Do not shop from a monthly-payment advertisement.</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III - MAKE LARGE DECISIONS WELL</w:t>
      </w:r>
    </w:p>
    <w:p>
      <w:pPr>
        <w:keepNext/>
        <w:pageBreakBefore w:val="0"/>
        <w:spacing w:before="0" w:after="60"/>
      </w:pPr>
      <w:r>
        <w:rPr>
          <w:rFonts w:ascii="Calibri" w:hAnsi="Calibri"/>
          <w:b/>
          <w:color w:val="7A5A00"/>
          <w:sz w:val="19"/>
        </w:rPr>
        <w:t>SESSION 9</w:t>
      </w:r>
    </w:p>
    <w:p>
      <w:pPr>
        <w:pStyle w:val="Heading1"/>
        <w:keepNext/>
      </w:pPr>
      <w:r>
        <w:t>Control Housing, Food, and Recurring Costs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Reduce large fixed costs and recurring leaks without cutting safety, medicine, or adequate nutrition.</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A few large commitments and repeated conveniences can consume the entire paycheck. Looking only at rent, a mortgage payment, the cost of one meal, or one small subscription hides the monthly total. Automatically renewing apps, streaming services, software, and free trials are especially easy to miss because each charge seems small and may be billed through a different account.</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Compare complete cost and complete value. Renting is not failure, homeownership is not automatic success, and cooking at home is a financial tool rather than a punishment.</w:t>
            </w:r>
          </w:p>
        </w:tc>
      </w:tr>
    </w:tbl>
    <w:p>
      <w:pPr>
        <w:spacing w:after="0"/>
      </w:pPr>
    </w:p>
    <w:p>
      <w:pPr>
        <w:pStyle w:val="Heading2"/>
        <w:keepNext/>
      </w:pPr>
      <w:r>
        <w:t>How to solve the problem</w:t>
      </w:r>
    </w:p>
    <w:p>
      <w:pPr>
        <w:numPr>
          <w:ilvl w:val="0"/>
          <w:numId w:val="27"/>
        </w:numPr>
        <w:spacing w:before="0" w:after="80" w:line="300" w:lineRule="auto"/>
      </w:pPr>
      <w:r>
        <w:rPr>
          <w:rFonts w:ascii="Calibri" w:hAnsi="Calibri"/>
          <w:color w:val="0B2545"/>
          <w:sz w:val="22"/>
        </w:rPr>
        <w:t>Compare housing using rent or mortgage, utilities, insurance, maintenance, fees, commute, deposits, and flexibility.</w:t>
      </w:r>
    </w:p>
    <w:p>
      <w:pPr>
        <w:numPr>
          <w:ilvl w:val="0"/>
          <w:numId w:val="27"/>
        </w:numPr>
        <w:spacing w:before="0" w:after="80" w:line="300" w:lineRule="auto"/>
      </w:pPr>
      <w:r>
        <w:rPr>
          <w:rFonts w:ascii="Calibri" w:hAnsi="Calibri"/>
          <w:color w:val="0B2545"/>
          <w:sz w:val="22"/>
        </w:rPr>
        <w:t>Do not drain emergency savings to meet an artificial home-buying deadline.</w:t>
      </w:r>
    </w:p>
    <w:p>
      <w:pPr>
        <w:numPr>
          <w:ilvl w:val="0"/>
          <w:numId w:val="27"/>
        </w:numPr>
        <w:spacing w:before="0" w:after="80" w:line="300" w:lineRule="auto"/>
      </w:pPr>
      <w:r>
        <w:rPr>
          <w:rFonts w:ascii="Calibri" w:hAnsi="Calibri"/>
          <w:color w:val="0B2545"/>
          <w:sz w:val="22"/>
        </w:rPr>
        <w:t>For owned homes, plan for property tax, insurance, critical repairs, clear title records, and accessibility or aging-in-place needs.</w:t>
      </w:r>
    </w:p>
    <w:p>
      <w:pPr>
        <w:numPr>
          <w:ilvl w:val="0"/>
          <w:numId w:val="27"/>
        </w:numPr>
        <w:spacing w:before="0" w:after="80" w:line="300" w:lineRule="auto"/>
      </w:pPr>
      <w:r>
        <w:rPr>
          <w:rFonts w:ascii="Calibri" w:hAnsi="Calibri"/>
          <w:color w:val="0B2545"/>
          <w:sz w:val="22"/>
        </w:rPr>
        <w:t>Separate groceries from restaurant and convenience spending; restaurant spending comes from Planned Fun Money.</w:t>
      </w:r>
    </w:p>
    <w:p>
      <w:pPr>
        <w:numPr>
          <w:ilvl w:val="0"/>
          <w:numId w:val="27"/>
        </w:numPr>
        <w:spacing w:before="0" w:after="80" w:line="300" w:lineRule="auto"/>
      </w:pPr>
      <w:r>
        <w:rPr>
          <w:rFonts w:ascii="Calibri" w:hAnsi="Calibri"/>
          <w:color w:val="0B2545"/>
          <w:sz w:val="22"/>
        </w:rPr>
        <w:t>Plan several repeatable low-cost meals and include the added grocery cost when estimating restaurant savings.</w:t>
      </w:r>
    </w:p>
    <w:p>
      <w:pPr>
        <w:numPr>
          <w:ilvl w:val="0"/>
          <w:numId w:val="27"/>
        </w:numPr>
        <w:spacing w:before="0" w:after="80" w:line="300" w:lineRule="auto"/>
      </w:pPr>
      <w:r>
        <w:rPr>
          <w:rFonts w:ascii="Calibri" w:hAnsi="Calibri"/>
          <w:color w:val="0B2545"/>
          <w:sz w:val="22"/>
        </w:rPr>
        <w:t>Audit subscriptions, streaming and music services, paid apps, software, cloud storage, memberships, phone, internet, insurance, free trials, and other automatic renewals each quarter. Check bank and card statements plus app-store, digital-wallet, and retailer accounts.</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Address housing, utilities, food, medicine, childcare, and transportation as structural costs.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Audit meals, utilities, apps, streaming, automatic renewals, taxes, insurance, and essential repairs.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Choose housing by complete cost and keep lifestyle increases below income increases.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Protect property through maintenance, insurance, taxes, records, and aging-in-place planning.</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compares roommates by utilities, deposit, commute, safety, and exit terms rather than rent alone.</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A home that seems affordable by mortgage payment would remove their margin after taxes, insurance, maintenance, and closing cash are included, so they change the date.</w:t>
      </w:r>
    </w:p>
    <w:p>
      <w:pPr>
        <w:spacing w:before="0" w:after="120" w:line="300" w:lineRule="auto"/>
      </w:pPr>
      <w:r>
        <w:rPr>
          <w:rFonts w:ascii="Calibri" w:hAnsi="Calibri"/>
          <w:b/>
          <w:color w:val="0B2545"/>
          <w:sz w:val="22"/>
        </w:rPr>
        <w:t xml:space="preserve">Jordan: </w:t>
      </w:r>
      <w:r>
        <w:rPr>
          <w:rFonts w:ascii="Calibri" w:hAnsi="Calibri"/>
          <w:i w:val="0"/>
          <w:color w:val="0B2545"/>
          <w:sz w:val="22"/>
        </w:rPr>
        <w:t>Skipping coffee will not close the gap created by rent, medicine, childcare, and transportation. Those structural costs must be addressed first. He still cancels an unused streaming service and a forgotten app renewal because recurring waste provides no value.</w:t>
      </w:r>
    </w:p>
    <w:p>
      <w:pPr>
        <w:spacing w:before="0" w:after="120" w:line="300" w:lineRule="auto"/>
      </w:pPr>
      <w:r>
        <w:rPr>
          <w:rFonts w:ascii="Calibri" w:hAnsi="Calibri"/>
          <w:b/>
          <w:color w:val="0B2545"/>
          <w:sz w:val="22"/>
        </w:rPr>
        <w:t xml:space="preserve">Evelyn: </w:t>
      </w:r>
      <w:r>
        <w:rPr>
          <w:rFonts w:ascii="Calibri" w:hAnsi="Calibri"/>
          <w:i w:val="0"/>
          <w:color w:val="0B2545"/>
          <w:sz w:val="22"/>
        </w:rPr>
        <w:t>She prioritizes a roof leak and property-tax deadline before a cosmetic upgrade, and compares repair assistance before borrowing.</w:t>
      </w:r>
    </w:p>
    <w:p>
      <w:pPr>
        <w:pStyle w:val="Heading2"/>
        <w:keepNext/>
        <w:pageBreakBefore/>
        <w:spacing w:before="60" w:after="30" w:line="240" w:lineRule="auto"/>
      </w:pPr>
      <w:r>
        <w:rPr>
          <w:sz w:val="26"/>
        </w:rPr>
        <w:t>Working exercise: Monthly cost and recurring-charge reset</w:t>
      </w:r>
    </w:p>
    <w:p>
      <w:pPr>
        <w:spacing w:before="0" w:after="16" w:line="240" w:lineRule="auto"/>
      </w:pPr>
      <w:r>
        <w:rPr>
          <w:rFonts w:ascii="Calibri" w:hAnsi="Calibri"/>
          <w:i w:val="0"/>
          <w:color w:val="5B6573"/>
          <w:sz w:val="18"/>
        </w:rPr>
        <w:t>Review the last three months of bank and credit-card statements plus app-store, digital-wallet, and retailer accounts. Convert annual charges to a monthly cost (annual cost divided by 12), then choose what to cancel, renegotiate, or consciously keep.</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3096"/>
        <w:gridCol w:w="2592"/>
        <w:gridCol w:w="3672"/>
      </w:tblGrid>
      <w:tr>
        <w:trPr>
          <w:tblHeader w:val="true"/>
          <w:cantSplit/>
        </w:trPr>
        <w:tc>
          <w:tcPr>
            <w:tcW w:type="dxa" w:w="30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Category</w:t>
            </w:r>
          </w:p>
        </w:tc>
        <w:tc>
          <w:tcPr>
            <w:tcW w:type="dxa" w:w="259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Current monthly cost</w:t>
            </w:r>
          </w:p>
        </w:tc>
        <w:tc>
          <w:tcPr>
            <w:tcW w:type="dxa" w:w="367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New decision / amount</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Housing total</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Property tax / insurance / repairs</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Childcare / medicine / health</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Groceries</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Restaurants / delivery</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Phone / internet</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Streaming / music / gaming</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Apps / software / cloud</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Free trials / memberships / renewals</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Remove / reduce / keep</w:t>
            </w:r>
          </w:p>
        </w:tc>
        <w:tc>
          <w:tcPr>
            <w:tcW w:type="dxa" w:w="2592"/>
            <w:tcMar>
              <w:top w:w="35" w:type="dxa"/>
              <w:start w:w="95" w:type="dxa"/>
              <w:bottom w:w="35" w:type="dxa"/>
              <w:end w:w="95" w:type="dxa"/>
            </w:tcMar>
            <w:vAlign w:val="center"/>
          </w:tcPr>
          <w:p>
            <w:pPr>
              <w:spacing w:after="0" w:line="240" w:lineRule="auto" w:before="0"/>
              <w:jc w:val="right"/>
            </w:pPr>
            <w:r>
              <w:rPr>
                <w:rFonts w:ascii="Calibri" w:hAnsi="Calibri"/>
                <w:color w:val="0B2545"/>
                <w:sz w:val="17"/>
              </w:rPr>
              <w:t>________________</w:t>
            </w:r>
          </w:p>
        </w:tc>
        <w:tc>
          <w:tcPr>
            <w:tcW w:type="dxa" w:w="3672"/>
            <w:tcMar>
              <w:top w:w="35" w:type="dxa"/>
              <w:start w:w="95" w:type="dxa"/>
              <w:bottom w:w="35" w:type="dxa"/>
              <w:end w:w="95" w:type="dxa"/>
            </w:tcMar>
            <w:vAlign w:val="center"/>
          </w:tcPr>
          <w:p>
            <w:pPr>
              <w:spacing w:after="0" w:line="240" w:lineRule="auto" w:before="0"/>
            </w:pPr>
            <w:r>
              <w:rPr>
                <w:rFonts w:ascii="Calibri" w:hAnsi="Calibri"/>
                <w:color w:val="0B2545"/>
                <w:sz w:val="17"/>
              </w:rPr>
              <w:t>Review: _____________</w:t>
            </w:r>
          </w:p>
        </w:tc>
      </w:tr>
    </w:tbl>
    <w:p>
      <w:pPr>
        <w:pStyle w:val="Heading2"/>
        <w:keepNext/>
        <w:spacing w:before="60" w:after="30" w:line="240" w:lineRule="auto"/>
      </w:pPr>
      <w:r>
        <w:rPr>
          <w:sz w:val="22"/>
        </w:rPr>
        <w:t>Real-life questions</w:t>
      </w:r>
    </w:p>
    <w:p>
      <w:pPr>
        <w:numPr>
          <w:ilvl w:val="0"/>
          <w:numId w:val="28"/>
        </w:numPr>
        <w:spacing w:before="0" w:after="16" w:line="240" w:lineRule="auto"/>
      </w:pPr>
      <w:r>
        <w:rPr>
          <w:rFonts w:ascii="Calibri" w:hAnsi="Calibri"/>
          <w:color w:val="0B2545"/>
          <w:sz w:val="18"/>
        </w:rPr>
        <w:t>Which app, streaming service, free trial, or automatic renewal gives you the least value?</w:t>
      </w:r>
    </w:p>
    <w:p>
      <w:pPr>
        <w:numPr>
          <w:ilvl w:val="0"/>
          <w:numId w:val="28"/>
        </w:numPr>
        <w:spacing w:before="0" w:after="16" w:line="240" w:lineRule="auto"/>
      </w:pPr>
      <w:r>
        <w:rPr>
          <w:rFonts w:ascii="Calibri" w:hAnsi="Calibri"/>
          <w:color w:val="0B2545"/>
          <w:sz w:val="18"/>
        </w:rPr>
        <w:t>What does eating out cost per month rather than per meal?</w:t>
      </w:r>
    </w:p>
    <w:p>
      <w:pPr>
        <w:numPr>
          <w:ilvl w:val="0"/>
          <w:numId w:val="28"/>
        </w:numPr>
        <w:spacing w:before="0" w:after="16" w:line="240" w:lineRule="auto"/>
      </w:pPr>
      <w:r>
        <w:rPr>
          <w:rFonts w:ascii="Calibri" w:hAnsi="Calibri"/>
          <w:color w:val="0B2545"/>
          <w:sz w:val="18"/>
        </w:rPr>
        <w:t>Would cheaper housing increase transportation, safety, or childcare costs?</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a true housing-cost comparison.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Plan seven days of meals.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Set the restaurant amount inside Planned Fun Money.</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Audit statements and billing accounts; cancel, renegotiate, or consciously keep each recurring charge.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Every recurring digital charge is identified; at least one cost is changed or deliberately retained; and food spending has a weekly plan.</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Fund groceries and housing before restaurants, subscriptions, or upgrades.</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III - MAKE LARGE DECISIONS WELL</w:t>
      </w:r>
    </w:p>
    <w:p>
      <w:pPr>
        <w:keepNext/>
        <w:pageBreakBefore w:val="0"/>
        <w:spacing w:before="0" w:after="60"/>
      </w:pPr>
      <w:r>
        <w:rPr>
          <w:rFonts w:ascii="Calibri" w:hAnsi="Calibri"/>
          <w:b/>
          <w:color w:val="7A5A00"/>
          <w:sz w:val="19"/>
        </w:rPr>
        <w:t>SESSION 10</w:t>
      </w:r>
    </w:p>
    <w:p>
      <w:pPr>
        <w:pStyle w:val="Heading1"/>
        <w:keepNext/>
      </w:pPr>
      <w:r>
        <w:t>Make Money Work Between People</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Create a written agreement for shared money, personal choice, family support, and major decisions.</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Secrecy, unequal incomes, family pressure, different habits, and undefined responsibilities create conflict even when the household earns enough.</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Shared money requires truth, a fair process, and safe personal access. Fair does not always mean equal, and planning together does not require surrendering all autonomy.</w:t>
            </w:r>
          </w:p>
        </w:tc>
      </w:tr>
    </w:tbl>
    <w:p>
      <w:pPr>
        <w:spacing w:after="0"/>
      </w:pPr>
    </w:p>
    <w:p>
      <w:pPr>
        <w:pStyle w:val="Heading2"/>
        <w:keepNext/>
      </w:pPr>
      <w:r>
        <w:t>How to solve the problem</w:t>
      </w:r>
    </w:p>
    <w:p>
      <w:pPr>
        <w:numPr>
          <w:ilvl w:val="0"/>
          <w:numId w:val="29"/>
        </w:numPr>
        <w:spacing w:before="0" w:after="80" w:line="300" w:lineRule="auto"/>
      </w:pPr>
      <w:r>
        <w:rPr>
          <w:rFonts w:ascii="Calibri" w:hAnsi="Calibri"/>
          <w:color w:val="0B2545"/>
          <w:sz w:val="22"/>
        </w:rPr>
        <w:t>Committed partners disclose income, debts, assets, recurring obligations, and goals privately and honestly.</w:t>
      </w:r>
    </w:p>
    <w:p>
      <w:pPr>
        <w:numPr>
          <w:ilvl w:val="0"/>
          <w:numId w:val="29"/>
        </w:numPr>
        <w:spacing w:before="0" w:after="80" w:line="300" w:lineRule="auto"/>
      </w:pPr>
      <w:r>
        <w:rPr>
          <w:rFonts w:ascii="Calibri" w:hAnsi="Calibri"/>
          <w:color w:val="0B2545"/>
          <w:sz w:val="22"/>
        </w:rPr>
        <w:t>Choose a joint, separate, or hybrid account system deliberately.</w:t>
      </w:r>
    </w:p>
    <w:p>
      <w:pPr>
        <w:numPr>
          <w:ilvl w:val="0"/>
          <w:numId w:val="29"/>
        </w:numPr>
        <w:spacing w:before="0" w:after="80" w:line="300" w:lineRule="auto"/>
      </w:pPr>
      <w:r>
        <w:rPr>
          <w:rFonts w:ascii="Calibri" w:hAnsi="Calibri"/>
          <w:color w:val="0B2545"/>
          <w:sz w:val="22"/>
        </w:rPr>
        <w:t>Agree whether shared contributions are equal, proportional, or otherwise negotiated.</w:t>
      </w:r>
    </w:p>
    <w:p>
      <w:pPr>
        <w:numPr>
          <w:ilvl w:val="0"/>
          <w:numId w:val="29"/>
        </w:numPr>
        <w:spacing w:before="0" w:after="80" w:line="300" w:lineRule="auto"/>
      </w:pPr>
      <w:r>
        <w:rPr>
          <w:rFonts w:ascii="Calibri" w:hAnsi="Calibri"/>
          <w:color w:val="0B2545"/>
          <w:sz w:val="22"/>
        </w:rPr>
        <w:t>Write rules for bills, goals, Planned Fun Money, purchase thresholds, debt, family assistance, and meeting frequency.</w:t>
      </w:r>
    </w:p>
    <w:p>
      <w:pPr>
        <w:numPr>
          <w:ilvl w:val="0"/>
          <w:numId w:val="29"/>
        </w:numPr>
        <w:spacing w:before="0" w:after="80" w:line="300" w:lineRule="auto"/>
      </w:pPr>
      <w:r>
        <w:rPr>
          <w:rFonts w:ascii="Calibri" w:hAnsi="Calibri"/>
          <w:color w:val="0B2545"/>
          <w:sz w:val="22"/>
        </w:rPr>
        <w:t>Discuss caregiving, gifts versus loans, and what help the household can provide without endangering its own necessities or future.</w:t>
      </w:r>
    </w:p>
    <w:p>
      <w:pPr>
        <w:numPr>
          <w:ilvl w:val="0"/>
          <w:numId w:val="29"/>
        </w:numPr>
        <w:spacing w:before="0" w:after="80" w:line="300" w:lineRule="auto"/>
      </w:pPr>
      <w:r>
        <w:rPr>
          <w:rFonts w:ascii="Calibri" w:hAnsi="Calibri"/>
          <w:color w:val="0B2545"/>
          <w:sz w:val="22"/>
        </w:rPr>
        <w:t>Preserve safe access to money and personal credit. Financial coercion is not budgeting. Roommates should use written bill and exit agreements.</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Preserve safe access to money, assign urgent bills, and set boundaries on family requests.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Use a written agreement and a short monthly money meeting.</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Coordinate shared goals while preserving agreed individual planned fun money.</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Discuss caregiving, gifts versus loans, family education, and inheritance expectations.</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use one joint bills account, separate Planned Fun Money, and a dollar threshold that requires discussion.</w:t>
      </w:r>
    </w:p>
    <w:p>
      <w:pPr>
        <w:spacing w:before="0" w:after="120" w:line="300" w:lineRule="auto"/>
      </w:pPr>
      <w:r>
        <w:rPr>
          <w:rFonts w:ascii="Calibri" w:hAnsi="Calibri"/>
          <w:b/>
          <w:color w:val="0B2545"/>
          <w:sz w:val="22"/>
        </w:rPr>
        <w:t xml:space="preserve">Maya: </w:t>
      </w:r>
      <w:r>
        <w:rPr>
          <w:rFonts w:ascii="Calibri" w:hAnsi="Calibri"/>
          <w:i w:val="0"/>
          <w:color w:val="0B2545"/>
          <w:sz w:val="22"/>
        </w:rPr>
        <w:t>She and a roommate document utilities, deposits, damage, and move-out responsibilities.</w:t>
      </w:r>
    </w:p>
    <w:p>
      <w:pPr>
        <w:spacing w:before="0" w:after="120" w:line="300" w:lineRule="auto"/>
      </w:pPr>
      <w:r>
        <w:rPr>
          <w:rFonts w:ascii="Calibri" w:hAnsi="Calibri"/>
          <w:b/>
          <w:color w:val="0B2545"/>
          <w:sz w:val="22"/>
        </w:rPr>
        <w:t xml:space="preserve">Evelyn: </w:t>
      </w:r>
      <w:r>
        <w:rPr>
          <w:rFonts w:ascii="Calibri" w:hAnsi="Calibri"/>
          <w:i w:val="0"/>
          <w:color w:val="0B2545"/>
          <w:sz w:val="22"/>
        </w:rPr>
        <w:t>She writes when family help is a gift, when it is a loan, and which caregiving costs she can carry without risking her housing.</w:t>
      </w:r>
    </w:p>
    <w:p>
      <w:pPr>
        <w:spacing w:before="0" w:after="120" w:line="300" w:lineRule="auto"/>
      </w:pPr>
      <w:r>
        <w:rPr>
          <w:rFonts w:ascii="Calibri" w:hAnsi="Calibri"/>
          <w:b/>
          <w:color w:val="0B2545"/>
          <w:sz w:val="22"/>
        </w:rPr>
        <w:t xml:space="preserve">Denise: </w:t>
      </w:r>
      <w:r>
        <w:rPr>
          <w:rFonts w:ascii="Calibri" w:hAnsi="Calibri"/>
          <w:i w:val="0"/>
          <w:color w:val="0B2545"/>
          <w:sz w:val="22"/>
        </w:rPr>
        <w:t>She retains private account access and completes the exercise without public disclosure of sensitive history.</w:t>
      </w:r>
    </w:p>
    <w:p>
      <w:pPr>
        <w:pStyle w:val="Heading2"/>
        <w:keepNext/>
        <w:pageBreakBefore/>
        <w:spacing w:before="60" w:after="30" w:line="240" w:lineRule="auto"/>
      </w:pPr>
      <w:r>
        <w:rPr>
          <w:sz w:val="26"/>
        </w:rPr>
        <w:t>Working exercise: Money Agreement</w:t>
      </w:r>
    </w:p>
    <w:p>
      <w:pPr>
        <w:spacing w:before="0" w:after="16" w:line="240" w:lineRule="auto"/>
      </w:pPr>
      <w:r>
        <w:rPr>
          <w:rFonts w:ascii="Calibri" w:hAnsi="Calibri"/>
          <w:i w:val="0"/>
          <w:color w:val="5B6573"/>
          <w:sz w:val="18"/>
        </w:rPr>
        <w:t>Complete with the other person when safe. Each person should retain access to essential funds and records.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952"/>
        <w:gridCol w:w="6408"/>
      </w:tblGrid>
      <w:tr>
        <w:trPr>
          <w:tblHeader w:val="true"/>
          <w:cantSplit/>
        </w:trPr>
        <w:tc>
          <w:tcPr>
            <w:tcW w:type="dxa" w:w="295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Decision</w:t>
            </w:r>
          </w:p>
        </w:tc>
        <w:tc>
          <w:tcPr>
            <w:tcW w:type="dxa" w:w="640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Our agreement</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Account system</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Joint / Separate / Hybrid / Other: 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Shared contribution</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Equal / Proportional / Negotiated: 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Bills and due dates</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Personal Planned Fun Money</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 each / Other: ____________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Discussion threshold</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 before commitment</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Family support boundary</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Caregiving / gift / loan rule</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Monthly Money Check-In</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Day / time: __________________________</w:t>
            </w:r>
          </w:p>
        </w:tc>
      </w:tr>
      <w:tr>
        <w:trPr>
          <w:cantSplit/>
        </w:trPr>
        <w:tc>
          <w:tcPr>
            <w:tcW w:type="dxa" w:w="2952"/>
            <w:tcMar>
              <w:top w:w="35" w:type="dxa"/>
              <w:start w:w="95" w:type="dxa"/>
              <w:bottom w:w="35" w:type="dxa"/>
              <w:end w:w="95" w:type="dxa"/>
            </w:tcMar>
            <w:vAlign w:val="center"/>
          </w:tcPr>
          <w:p>
            <w:pPr>
              <w:spacing w:after="0" w:line="240" w:lineRule="auto" w:before="0"/>
            </w:pPr>
            <w:r>
              <w:rPr>
                <w:rFonts w:ascii="Calibri" w:hAnsi="Calibri"/>
                <w:color w:val="0B2545"/>
                <w:sz w:val="17"/>
              </w:rPr>
              <w:t>Safe personal access</w:t>
            </w:r>
          </w:p>
        </w:tc>
        <w:tc>
          <w:tcPr>
            <w:tcW w:type="dxa" w:w="640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_____________________________________</w:t>
            </w:r>
          </w:p>
        </w:tc>
      </w:tr>
    </w:tbl>
    <w:p>
      <w:pPr>
        <w:pStyle w:val="Heading2"/>
        <w:keepNext/>
        <w:spacing w:before="60" w:after="30" w:line="240" w:lineRule="auto"/>
      </w:pPr>
      <w:r>
        <w:rPr>
          <w:sz w:val="22"/>
        </w:rPr>
        <w:t>Real-life questions</w:t>
      </w:r>
    </w:p>
    <w:p>
      <w:pPr>
        <w:numPr>
          <w:ilvl w:val="0"/>
          <w:numId w:val="30"/>
        </w:numPr>
        <w:spacing w:before="0" w:after="16" w:line="240" w:lineRule="auto"/>
      </w:pPr>
      <w:r>
        <w:rPr>
          <w:rFonts w:ascii="Calibri" w:hAnsi="Calibri"/>
          <w:color w:val="0B2545"/>
          <w:sz w:val="18"/>
        </w:rPr>
        <w:t>What feels fair rather than merely equal?</w:t>
      </w:r>
    </w:p>
    <w:p>
      <w:pPr>
        <w:numPr>
          <w:ilvl w:val="0"/>
          <w:numId w:val="30"/>
        </w:numPr>
        <w:spacing w:before="0" w:after="16" w:line="240" w:lineRule="auto"/>
      </w:pPr>
      <w:r>
        <w:rPr>
          <w:rFonts w:ascii="Calibri" w:hAnsi="Calibri"/>
          <w:color w:val="0B2545"/>
          <w:sz w:val="18"/>
        </w:rPr>
        <w:t>Which purchases require discussion before either person commits?</w:t>
      </w:r>
    </w:p>
    <w:p>
      <w:pPr>
        <w:numPr>
          <w:ilvl w:val="0"/>
          <w:numId w:val="30"/>
        </w:numPr>
        <w:spacing w:before="0" w:after="16" w:line="240" w:lineRule="auto"/>
      </w:pPr>
      <w:r>
        <w:rPr>
          <w:rFonts w:ascii="Calibri" w:hAnsi="Calibri"/>
          <w:color w:val="0B2545"/>
          <w:sz w:val="18"/>
        </w:rPr>
        <w:t>Which family request is hardest to decline?</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a Money Agreement or an individual Family Boundary Plan.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Schedule a 20-minute Monthly Money Check-In.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a purchase-discussion threshold.</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Safely disclose any hidden recurring obligation that affects a shared plan.</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written agreement or boundary plan and a scheduled review date.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Move agreed bill money first and fund each person's Planned Fun Money only at the agreed amount.</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IV - PROTECT, BUILD, AND PASS IT ON</w:t>
      </w:r>
    </w:p>
    <w:p>
      <w:pPr>
        <w:keepNext/>
        <w:pageBreakBefore w:val="0"/>
        <w:spacing w:before="0" w:after="60"/>
      </w:pPr>
      <w:r>
        <w:rPr>
          <w:rFonts w:ascii="Calibri" w:hAnsi="Calibri"/>
          <w:b/>
          <w:color w:val="7A5A00"/>
          <w:sz w:val="19"/>
        </w:rPr>
        <w:t>SESSION 11</w:t>
      </w:r>
    </w:p>
    <w:p>
      <w:pPr>
        <w:pStyle w:val="Heading1"/>
        <w:keepNext/>
      </w:pPr>
      <w:r>
        <w:t>Protect What You Build and Pass It On</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Identify one loss that could undo the plan and one ownership or transfer gap that could erase family wealth.</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Illness, disability, death, fraud, liability, unclear title, or one uninsured event can undo years of progress. Assets can also be lost when beneficiaries, deeds, wills, powers of attorney, or records are missing or outdated.</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Insure losses the household cannot absorb. Save for smaller predictable costs. Keep ownership, beneficiaries, documents, and fraud protection current.</w:t>
            </w:r>
          </w:p>
        </w:tc>
      </w:tr>
    </w:tbl>
    <w:p>
      <w:pPr>
        <w:spacing w:after="0"/>
      </w:pPr>
    </w:p>
    <w:p>
      <w:pPr>
        <w:pStyle w:val="Heading2"/>
        <w:keepNext/>
      </w:pPr>
      <w:r>
        <w:t>How to solve the problem</w:t>
      </w:r>
    </w:p>
    <w:p>
      <w:pPr>
        <w:numPr>
          <w:ilvl w:val="0"/>
          <w:numId w:val="31"/>
        </w:numPr>
        <w:spacing w:before="0" w:after="80" w:line="300" w:lineRule="auto"/>
      </w:pPr>
      <w:r>
        <w:rPr>
          <w:rFonts w:ascii="Calibri" w:hAnsi="Calibri"/>
          <w:color w:val="0B2545"/>
          <w:sz w:val="22"/>
        </w:rPr>
        <w:t>Review health, auto, renters or homeowners, disability, and life coverage according to actual risks and dependents.</w:t>
      </w:r>
    </w:p>
    <w:p>
      <w:pPr>
        <w:numPr>
          <w:ilvl w:val="0"/>
          <w:numId w:val="31"/>
        </w:numPr>
        <w:spacing w:before="0" w:after="80" w:line="300" w:lineRule="auto"/>
      </w:pPr>
      <w:r>
        <w:rPr>
          <w:rFonts w:ascii="Calibri" w:hAnsi="Calibri"/>
          <w:color w:val="0B2545"/>
          <w:sz w:val="22"/>
        </w:rPr>
        <w:t>Compare deductible, exclusions, limit, network, premium, and claim risk rather than premium alone.</w:t>
      </w:r>
    </w:p>
    <w:p>
      <w:pPr>
        <w:numPr>
          <w:ilvl w:val="0"/>
          <w:numId w:val="31"/>
        </w:numPr>
        <w:spacing w:before="0" w:after="80" w:line="300" w:lineRule="auto"/>
      </w:pPr>
      <w:r>
        <w:rPr>
          <w:rFonts w:ascii="Calibri" w:hAnsi="Calibri"/>
          <w:color w:val="0B2545"/>
          <w:sz w:val="22"/>
        </w:rPr>
        <w:t>Confirm beneficiaries after marriage, divorce, a birth, a death, or a job change.</w:t>
      </w:r>
    </w:p>
    <w:p>
      <w:pPr>
        <w:numPr>
          <w:ilvl w:val="0"/>
          <w:numId w:val="31"/>
        </w:numPr>
        <w:spacing w:before="0" w:after="80" w:line="300" w:lineRule="auto"/>
      </w:pPr>
      <w:r>
        <w:rPr>
          <w:rFonts w:ascii="Calibri" w:hAnsi="Calibri"/>
          <w:color w:val="0B2545"/>
          <w:sz w:val="22"/>
        </w:rPr>
        <w:t>Review names on deeds, vehicle titles, accounts, and other property; do not assume a will overrides every title or beneficiary designation.</w:t>
      </w:r>
    </w:p>
    <w:p>
      <w:pPr>
        <w:numPr>
          <w:ilvl w:val="0"/>
          <w:numId w:val="31"/>
        </w:numPr>
        <w:spacing w:before="0" w:after="80" w:line="300" w:lineRule="auto"/>
      </w:pPr>
      <w:r>
        <w:rPr>
          <w:rFonts w:ascii="Calibri" w:hAnsi="Calibri"/>
          <w:color w:val="0B2545"/>
          <w:sz w:val="22"/>
        </w:rPr>
        <w:t>Create appropriate state-law wills, powers of attorney, health directives, and an emergency-information plan with qualified help. Seek legal help promptly for unclear ownership or heirs' property.</w:t>
      </w:r>
    </w:p>
    <w:p>
      <w:pPr>
        <w:numPr>
          <w:ilvl w:val="0"/>
          <w:numId w:val="31"/>
        </w:numPr>
        <w:spacing w:before="0" w:after="80" w:line="300" w:lineRule="auto"/>
      </w:pPr>
      <w:r>
        <w:rPr>
          <w:rFonts w:ascii="Calibri" w:hAnsi="Calibri"/>
          <w:color w:val="0B2545"/>
          <w:sz w:val="22"/>
        </w:rPr>
        <w:t>Store records where the right person can find them, while using unique passwords, multifactor authentication, account alerts, credit freezes, and a written fraud-response sequence.</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Take free actions first: passwords, alerts, freezes, records, emergency contacts, and a coverage review.</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Close the most important deductible, beneficiary, document, or coverage gap.</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Complete appropriate will, power-of-attorney, directive, title, and ownership reviews with qualified help.</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Coordinate titles, beneficiaries, heirs' property, records, and intended decision-makers.</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learns that the landlord's policy does not cover her belongings and evaluates renters insurance.</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calculate what the household would need if either income disappeared for a year.</w:t>
      </w:r>
    </w:p>
    <w:p>
      <w:pPr>
        <w:spacing w:before="0" w:after="120" w:line="300" w:lineRule="auto"/>
      </w:pPr>
      <w:r>
        <w:rPr>
          <w:rFonts w:ascii="Calibri" w:hAnsi="Calibri"/>
          <w:b/>
          <w:color w:val="0B2545"/>
          <w:sz w:val="22"/>
        </w:rPr>
        <w:t xml:space="preserve">James: </w:t>
      </w:r>
      <w:r>
        <w:rPr>
          <w:rFonts w:ascii="Calibri" w:hAnsi="Calibri"/>
          <w:i w:val="0"/>
          <w:color w:val="0B2545"/>
          <w:sz w:val="22"/>
        </w:rPr>
        <w:t>He updates a beneficiary left unchanged after divorce and examines disability coverage because his income depends on working.</w:t>
      </w:r>
    </w:p>
    <w:p>
      <w:pPr>
        <w:spacing w:before="0" w:after="120" w:line="300" w:lineRule="auto"/>
      </w:pPr>
      <w:r>
        <w:rPr>
          <w:rFonts w:ascii="Calibri" w:hAnsi="Calibri"/>
          <w:b/>
          <w:color w:val="0B2545"/>
          <w:sz w:val="22"/>
        </w:rPr>
        <w:t xml:space="preserve">Evelyn: </w:t>
      </w:r>
      <w:r>
        <w:rPr>
          <w:rFonts w:ascii="Calibri" w:hAnsi="Calibri"/>
          <w:i w:val="0"/>
          <w:color w:val="0B2545"/>
          <w:sz w:val="22"/>
        </w:rPr>
        <w:t>She checks the deed, beneficiaries, will, power of attorney, and document location so an older home and savings are less likely to become a family dispute or fraud loss.</w:t>
      </w:r>
    </w:p>
    <w:p>
      <w:pPr>
        <w:pStyle w:val="Heading2"/>
        <w:keepNext/>
        <w:pageBreakBefore/>
        <w:spacing w:before="60" w:after="30" w:line="240" w:lineRule="auto"/>
      </w:pPr>
      <w:r>
        <w:rPr>
          <w:sz w:val="26"/>
        </w:rPr>
        <w:t>Working exercise: Financial Safeguards Review</w:t>
      </w:r>
    </w:p>
    <w:p>
      <w:pPr>
        <w:spacing w:before="0" w:after="16" w:line="240" w:lineRule="auto"/>
      </w:pPr>
      <w:r>
        <w:rPr>
          <w:rFonts w:ascii="Calibri" w:hAnsi="Calibri"/>
          <w:i w:val="0"/>
          <w:color w:val="5B6573"/>
          <w:sz w:val="18"/>
        </w:rPr>
        <w:t>Do not place account passwords in this worksheet.</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880"/>
        <w:gridCol w:w="3168"/>
        <w:gridCol w:w="3312"/>
      </w:tblGrid>
      <w:tr>
        <w:trPr>
          <w:tblHeader w:val="true"/>
          <w:cantSplit/>
        </w:trPr>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Risk / document</w:t>
            </w:r>
          </w:p>
        </w:tc>
        <w:tc>
          <w:tcPr>
            <w:tcW w:type="dxa" w:w="316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Current protection</w:t>
            </w:r>
          </w:p>
        </w:tc>
        <w:tc>
          <w:tcPr>
            <w:tcW w:type="dxa" w:w="3312"/>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Gap / action date</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Health</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Auto</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Renters / homeowners</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Disability</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Life / dependents</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Beneficiaries</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Checked: 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Home / land / vehicle title</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Owner(s): 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Will / directives / POA</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Heirs' property / unclear ownership</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Yes / No / Unknown</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Legal help: 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Record location / trusted contact</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Fraud and account security</w:t>
            </w:r>
          </w:p>
        </w:tc>
        <w:tc>
          <w:tcPr>
            <w:tcW w:type="dxa" w:w="3168"/>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12"/>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bl>
    <w:p>
      <w:pPr>
        <w:pStyle w:val="Heading2"/>
        <w:keepNext/>
        <w:spacing w:before="60" w:after="30" w:line="240" w:lineRule="auto"/>
      </w:pPr>
      <w:r>
        <w:rPr>
          <w:sz w:val="22"/>
        </w:rPr>
        <w:t>Real-life questions</w:t>
      </w:r>
    </w:p>
    <w:p>
      <w:pPr>
        <w:numPr>
          <w:ilvl w:val="0"/>
          <w:numId w:val="32"/>
        </w:numPr>
        <w:spacing w:before="0" w:after="16" w:line="240" w:lineRule="auto"/>
      </w:pPr>
      <w:r>
        <w:rPr>
          <w:rFonts w:ascii="Calibri" w:hAnsi="Calibri"/>
          <w:color w:val="0B2545"/>
          <w:sz w:val="18"/>
        </w:rPr>
        <w:t>Who depends on your income, care, or daily work?</w:t>
      </w:r>
    </w:p>
    <w:p>
      <w:pPr>
        <w:numPr>
          <w:ilvl w:val="0"/>
          <w:numId w:val="32"/>
        </w:numPr>
        <w:spacing w:before="0" w:after="16" w:line="240" w:lineRule="auto"/>
      </w:pPr>
      <w:r>
        <w:rPr>
          <w:rFonts w:ascii="Calibri" w:hAnsi="Calibri"/>
          <w:color w:val="0B2545"/>
          <w:sz w:val="18"/>
        </w:rPr>
        <w:t>Could you pay your largest deductible tomorrow?</w:t>
      </w:r>
    </w:p>
    <w:p>
      <w:pPr>
        <w:numPr>
          <w:ilvl w:val="0"/>
          <w:numId w:val="32"/>
        </w:numPr>
        <w:spacing w:before="0" w:after="16" w:line="240" w:lineRule="auto"/>
      </w:pPr>
      <w:r>
        <w:rPr>
          <w:rFonts w:ascii="Calibri" w:hAnsi="Calibri"/>
          <w:color w:val="0B2545"/>
          <w:sz w:val="18"/>
        </w:rPr>
        <w:t>Who could locate essential information if you were unavailable?</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Financial Safeguards Review.</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Confirm beneficiaries.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Check the owner or title on each major asset.</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Identify the largest uninsured or underinsured risk.</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Create a one-page fraud and emergency contact sheet.</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One protection gap has a scheduled remedy, and ownership plus beneficiary information has been checked.</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Fund essential premiums and deductibles before optional upgrades.</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IV - PROTECT, BUILD, AND PASS IT ON</w:t>
      </w:r>
    </w:p>
    <w:p>
      <w:pPr>
        <w:keepNext/>
        <w:pageBreakBefore w:val="0"/>
        <w:spacing w:before="0" w:after="60"/>
      </w:pPr>
      <w:r>
        <w:rPr>
          <w:rFonts w:ascii="Calibri" w:hAnsi="Calibri"/>
          <w:b/>
          <w:color w:val="7A5A00"/>
          <w:sz w:val="19"/>
        </w:rPr>
        <w:t>SESSION 12</w:t>
      </w:r>
    </w:p>
    <w:p>
      <w:pPr>
        <w:pStyle w:val="Heading1"/>
        <w:keepNext/>
      </w:pPr>
      <w:r>
        <w:t>Stabilize Income and Direct Windfalls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Choose one realistic income or benefit improvement and write a rule for irregular money.</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Expense cuts cannot solve every shortfall. At the same time, raises, refunds, overtime, bonuses, and side income often disappear because no decision was made before the money arrived.</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Improve income by net result, not promises. Direct irregular money before it reaches everyday spending.</w:t>
            </w:r>
          </w:p>
        </w:tc>
      </w:tr>
    </w:tbl>
    <w:p>
      <w:pPr>
        <w:spacing w:after="0"/>
      </w:pPr>
    </w:p>
    <w:p>
      <w:pPr>
        <w:pStyle w:val="Heading2"/>
        <w:keepNext/>
      </w:pPr>
      <w:r>
        <w:t>How to solve the problem</w:t>
      </w:r>
    </w:p>
    <w:p>
      <w:pPr>
        <w:numPr>
          <w:ilvl w:val="0"/>
          <w:numId w:val="33"/>
        </w:numPr>
        <w:spacing w:before="0" w:after="80" w:line="300" w:lineRule="auto"/>
      </w:pPr>
      <w:r>
        <w:rPr>
          <w:rFonts w:ascii="Calibri" w:hAnsi="Calibri"/>
          <w:color w:val="0B2545"/>
          <w:sz w:val="22"/>
        </w:rPr>
        <w:t>Compare skills, certifications, schedule changes, promotions, and job moves by cost, time, placement evidence, and likely net pay.</w:t>
      </w:r>
    </w:p>
    <w:p>
      <w:pPr>
        <w:numPr>
          <w:ilvl w:val="0"/>
          <w:numId w:val="33"/>
        </w:numPr>
        <w:spacing w:before="0" w:after="80" w:line="300" w:lineRule="auto"/>
      </w:pPr>
      <w:r>
        <w:rPr>
          <w:rFonts w:ascii="Calibri" w:hAnsi="Calibri"/>
          <w:color w:val="0B2545"/>
          <w:sz w:val="22"/>
        </w:rPr>
        <w:t>Map seasonal or irregular income across a full year and identify the lowest dependable month before raising recurring costs.</w:t>
      </w:r>
    </w:p>
    <w:p>
      <w:pPr>
        <w:numPr>
          <w:ilvl w:val="0"/>
          <w:numId w:val="33"/>
        </w:numPr>
        <w:spacing w:before="0" w:after="80" w:line="300" w:lineRule="auto"/>
      </w:pPr>
      <w:r>
        <w:rPr>
          <w:rFonts w:ascii="Calibri" w:hAnsi="Calibri"/>
          <w:color w:val="0B2545"/>
          <w:sz w:val="22"/>
        </w:rPr>
        <w:t>Calculate side-income profit after taxes, tools, travel, childcare, insurance, and unpaid time.</w:t>
      </w:r>
    </w:p>
    <w:p>
      <w:pPr>
        <w:numPr>
          <w:ilvl w:val="0"/>
          <w:numId w:val="33"/>
        </w:numPr>
        <w:spacing w:before="0" w:after="80" w:line="300" w:lineRule="auto"/>
      </w:pPr>
      <w:r>
        <w:rPr>
          <w:rFonts w:ascii="Calibri" w:hAnsi="Calibri"/>
          <w:color w:val="0B2545"/>
          <w:sz w:val="22"/>
        </w:rPr>
        <w:t>Check how added income may affect public benefits before assuming every gross dollar improves cash flow.</w:t>
      </w:r>
    </w:p>
    <w:p>
      <w:pPr>
        <w:numPr>
          <w:ilvl w:val="0"/>
          <w:numId w:val="33"/>
        </w:numPr>
        <w:spacing w:before="0" w:after="80" w:line="300" w:lineRule="auto"/>
      </w:pPr>
      <w:r>
        <w:rPr>
          <w:rFonts w:ascii="Calibri" w:hAnsi="Calibri"/>
          <w:color w:val="0B2545"/>
          <w:sz w:val="22"/>
        </w:rPr>
        <w:t>Avoid work offers or training programs that demand consumer debt, recruitment fees, or unrealistic earnings assumptions.</w:t>
      </w:r>
    </w:p>
    <w:p>
      <w:pPr>
        <w:numPr>
          <w:ilvl w:val="0"/>
          <w:numId w:val="33"/>
        </w:numPr>
        <w:spacing w:before="0" w:after="80" w:line="300" w:lineRule="auto"/>
      </w:pPr>
      <w:r>
        <w:rPr>
          <w:rFonts w:ascii="Calibri" w:hAnsi="Calibri"/>
          <w:color w:val="0B2545"/>
          <w:sz w:val="22"/>
        </w:rPr>
        <w:t>Write a windfall order: urgent bills, emergency savings, expensive debt, future goals, and a modest funded splurge only when affordable.</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Check benefits, withholding, free tax help, scheduling, and no-cost training before paying for a program.</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Smooth seasonal income and preassign refunds, overtime, and other irregular money.</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Evaluate raises, job changes, and side work by true after-cost gain.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Plan income continuity, retirement transitions, and windfalls directed toward assets or family goals.</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She compares a certificate's total cost and completion rate with the local jobs and wages it actually leads to.</w:t>
      </w:r>
    </w:p>
    <w:p>
      <w:pPr>
        <w:spacing w:before="0" w:after="120" w:line="300" w:lineRule="auto"/>
      </w:pPr>
      <w:r>
        <w:rPr>
          <w:rFonts w:ascii="Calibri" w:hAnsi="Calibri"/>
          <w:b/>
          <w:color w:val="0B2545"/>
          <w:sz w:val="22"/>
        </w:rPr>
        <w:t xml:space="preserve">Jordan: </w:t>
      </w:r>
      <w:r>
        <w:rPr>
          <w:rFonts w:ascii="Calibri" w:hAnsi="Calibri"/>
          <w:i w:val="0"/>
          <w:color w:val="0B2545"/>
          <w:sz w:val="22"/>
        </w:rPr>
        <w:t>Before accepting more hours, Jordan checks the after-tax gain, caregiving costs, and possible benefit changes, then plans for low-hour months.</w:t>
      </w:r>
    </w:p>
    <w:p>
      <w:pPr>
        <w:spacing w:before="0" w:after="120" w:line="300" w:lineRule="auto"/>
      </w:pPr>
      <w:r>
        <w:rPr>
          <w:rFonts w:ascii="Calibri" w:hAnsi="Calibri"/>
          <w:b/>
          <w:color w:val="0B2545"/>
          <w:sz w:val="22"/>
        </w:rPr>
        <w:t xml:space="preserve">James: </w:t>
      </w:r>
      <w:r>
        <w:rPr>
          <w:rFonts w:ascii="Calibri" w:hAnsi="Calibri"/>
          <w:i w:val="0"/>
          <w:color w:val="0B2545"/>
          <w:sz w:val="22"/>
        </w:rPr>
        <w:t>He compares a lead position, a certification, and a second job by net pay and the effect on health and time.</w:t>
      </w:r>
    </w:p>
    <w:p>
      <w:pPr>
        <w:spacing w:before="0" w:after="120" w:line="300" w:lineRule="auto"/>
      </w:pPr>
      <w:r>
        <w:rPr>
          <w:rFonts w:ascii="Calibri" w:hAnsi="Calibri"/>
          <w:b/>
          <w:color w:val="0B2545"/>
          <w:sz w:val="22"/>
        </w:rPr>
        <w:t xml:space="preserve">Evelyn: </w:t>
      </w:r>
      <w:r>
        <w:rPr>
          <w:rFonts w:ascii="Calibri" w:hAnsi="Calibri"/>
          <w:i w:val="0"/>
          <w:color w:val="0B2545"/>
          <w:sz w:val="22"/>
        </w:rPr>
        <w:t>She treats a tax refund or insurance payment as irregular money and assigns it before it reaches everyday spending.</w:t>
      </w:r>
    </w:p>
    <w:p>
      <w:pPr>
        <w:pStyle w:val="Heading2"/>
        <w:keepNext/>
        <w:pageBreakBefore/>
        <w:spacing w:before="60" w:after="30" w:line="240" w:lineRule="auto"/>
      </w:pPr>
      <w:r>
        <w:rPr>
          <w:sz w:val="26"/>
        </w:rPr>
        <w:t>Working exercise: Income Opportunity Comparison</w:t>
      </w:r>
    </w:p>
    <w:p>
      <w:pPr>
        <w:spacing w:before="0" w:after="16" w:line="240" w:lineRule="auto"/>
      </w:pPr>
      <w:r>
        <w:rPr>
          <w:rFonts w:ascii="Calibri" w:hAnsi="Calibri"/>
          <w:i w:val="0"/>
          <w:color w:val="5B6573"/>
          <w:sz w:val="18"/>
        </w:rPr>
        <w:t>A higher gross amount is useful only when the household keeps enough of it to justify the time and risk.</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520"/>
        <w:gridCol w:w="3384"/>
        <w:gridCol w:w="3456"/>
      </w:tblGrid>
      <w:tr>
        <w:trPr>
          <w:tblHeader w:val="true"/>
          <w:cantSplit/>
        </w:trPr>
        <w:tc>
          <w:tcPr>
            <w:tcW w:type="dxa" w:w="252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Opportunity</w:t>
            </w:r>
          </w:p>
        </w:tc>
        <w:tc>
          <w:tcPr>
            <w:tcW w:type="dxa" w:w="338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Net gain and costs</w:t>
            </w:r>
          </w:p>
        </w:tc>
        <w:tc>
          <w:tcPr>
            <w:tcW w:type="dxa" w:w="345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Evidence / next action</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Raise / promotion</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 less costs</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Schedule / overtime</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 less costs</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New job</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 less costs</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Training / certificate</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Cost: $______ Time: ______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Jobs / wages verified: 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Side work</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Profit: $______ Hours: ______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Tax / insurance checked: 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Low-income month</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Net: $________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Bills adjusted: _____________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Benefit-change risk</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Program: ______________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Verified with: 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Tax reserve</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 or 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Held where: ______________</w:t>
            </w:r>
          </w:p>
        </w:tc>
      </w:tr>
      <w:tr>
        <w:trPr>
          <w:cantSplit/>
        </w:trPr>
        <w:tc>
          <w:tcPr>
            <w:tcW w:type="dxa" w:w="2520"/>
            <w:tcMar>
              <w:top w:w="35" w:type="dxa"/>
              <w:start w:w="95" w:type="dxa"/>
              <w:bottom w:w="35" w:type="dxa"/>
              <w:end w:w="95" w:type="dxa"/>
            </w:tcMar>
            <w:vAlign w:val="center"/>
          </w:tcPr>
          <w:p>
            <w:pPr>
              <w:spacing w:after="0" w:line="240" w:lineRule="auto" w:before="0"/>
            </w:pPr>
            <w:r>
              <w:rPr>
                <w:rFonts w:ascii="Calibri" w:hAnsi="Calibri"/>
                <w:color w:val="0B2545"/>
                <w:sz w:val="17"/>
              </w:rPr>
              <w:t>Windfall order</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1. ______  2. ______</w:t>
            </w:r>
          </w:p>
        </w:tc>
        <w:tc>
          <w:tcPr>
            <w:tcW w:type="dxa" w:w="3456"/>
            <w:tcMar>
              <w:top w:w="35" w:type="dxa"/>
              <w:start w:w="95" w:type="dxa"/>
              <w:bottom w:w="35" w:type="dxa"/>
              <w:end w:w="95" w:type="dxa"/>
            </w:tcMar>
            <w:vAlign w:val="center"/>
          </w:tcPr>
          <w:p>
            <w:pPr>
              <w:spacing w:after="0" w:line="240" w:lineRule="auto" w:before="0"/>
            </w:pPr>
            <w:r>
              <w:rPr>
                <w:rFonts w:ascii="Calibri" w:hAnsi="Calibri"/>
                <w:color w:val="0B2545"/>
                <w:sz w:val="17"/>
              </w:rPr>
              <w:t>3. ______  4. ______</w:t>
            </w:r>
          </w:p>
        </w:tc>
      </w:tr>
    </w:tbl>
    <w:p>
      <w:pPr>
        <w:pStyle w:val="Heading2"/>
        <w:keepNext/>
        <w:spacing w:before="60" w:after="30" w:line="240" w:lineRule="auto"/>
      </w:pPr>
      <w:r>
        <w:rPr>
          <w:sz w:val="22"/>
        </w:rPr>
        <w:t>Real-life questions</w:t>
      </w:r>
    </w:p>
    <w:p>
      <w:pPr>
        <w:numPr>
          <w:ilvl w:val="0"/>
          <w:numId w:val="34"/>
        </w:numPr>
        <w:spacing w:before="0" w:after="16" w:line="240" w:lineRule="auto"/>
      </w:pPr>
      <w:r>
        <w:rPr>
          <w:rFonts w:ascii="Calibri" w:hAnsi="Calibri"/>
          <w:color w:val="0B2545"/>
          <w:sz w:val="18"/>
        </w:rPr>
        <w:t>Which skill would an employer actually pay more for?</w:t>
      </w:r>
    </w:p>
    <w:p>
      <w:pPr>
        <w:numPr>
          <w:ilvl w:val="0"/>
          <w:numId w:val="34"/>
        </w:numPr>
        <w:spacing w:before="0" w:after="16" w:line="240" w:lineRule="auto"/>
      </w:pPr>
      <w:r>
        <w:rPr>
          <w:rFonts w:ascii="Calibri" w:hAnsi="Calibri"/>
          <w:color w:val="0B2545"/>
          <w:sz w:val="18"/>
        </w:rPr>
        <w:t>What is the true hourly value of extra work?</w:t>
      </w:r>
    </w:p>
    <w:p>
      <w:pPr>
        <w:numPr>
          <w:ilvl w:val="0"/>
          <w:numId w:val="34"/>
        </w:numPr>
        <w:spacing w:before="0" w:after="16" w:line="240" w:lineRule="auto"/>
      </w:pPr>
      <w:r>
        <w:rPr>
          <w:rFonts w:ascii="Calibri" w:hAnsi="Calibri"/>
          <w:color w:val="0B2545"/>
          <w:sz w:val="18"/>
        </w:rPr>
        <w:t>Where did your last windfall go?</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Income Opportunity Comparison.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Choose one raise, job, schedule, benefit, or training 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Write a windfall allocation rule.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Verify the cost and likely result of any training program.</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One income-improvement action has a date, and future windfalls have a written order.</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If overtime or extra income arrives, follow the written windfall order instead of increasing recurring bills.</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IV - PROTECT, BUILD, AND PASS IT ON</w:t>
      </w:r>
    </w:p>
    <w:p>
      <w:pPr>
        <w:keepNext/>
        <w:pageBreakBefore w:val="0"/>
        <w:spacing w:before="0" w:after="60"/>
      </w:pPr>
      <w:r>
        <w:rPr>
          <w:rFonts w:ascii="Calibri" w:hAnsi="Calibri"/>
          <w:b/>
          <w:color w:val="7A5A00"/>
          <w:sz w:val="19"/>
        </w:rPr>
        <w:t>SESSION 13</w:t>
      </w:r>
    </w:p>
    <w:p>
      <w:pPr>
        <w:pStyle w:val="Heading1"/>
        <w:keepNext/>
      </w:pPr>
      <w:r>
        <w:t>Build Long-Term Assets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Choose one long-term asset action and one five-year ownership goal, even when the start is small or late.</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Generational wealth sounds unreachable when daily money is unstable. Others build assets without checking costs, risk, legal ownership, beneficiaries, or whether a purchase crowds out retirement and cash reserves.</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Daily control creates the capacity to build assets. Long-term assets should increase future choice, remain understandable, and be protected for the people you intend to benefit.</w:t>
            </w:r>
          </w:p>
        </w:tc>
      </w:tr>
    </w:tbl>
    <w:p>
      <w:pPr>
        <w:spacing w:after="0"/>
      </w:pPr>
    </w:p>
    <w:p>
      <w:pPr>
        <w:pStyle w:val="Heading2"/>
        <w:keepNext/>
      </w:pPr>
      <w:r>
        <w:t>How to solve the problem</w:t>
      </w:r>
    </w:p>
    <w:p>
      <w:pPr>
        <w:numPr>
          <w:ilvl w:val="0"/>
          <w:numId w:val="35"/>
        </w:numPr>
        <w:spacing w:before="0" w:after="80" w:line="300" w:lineRule="auto"/>
      </w:pPr>
      <w:r>
        <w:rPr>
          <w:rFonts w:ascii="Calibri" w:hAnsi="Calibri"/>
          <w:color w:val="0B2545"/>
          <w:sz w:val="22"/>
        </w:rPr>
        <w:t>Stabilize immediate cash needs and build accessible reserves before taking speculative risk.</w:t>
      </w:r>
    </w:p>
    <w:p>
      <w:pPr>
        <w:numPr>
          <w:ilvl w:val="0"/>
          <w:numId w:val="35"/>
        </w:numPr>
        <w:spacing w:before="0" w:after="80" w:line="300" w:lineRule="auto"/>
      </w:pPr>
      <w:r>
        <w:rPr>
          <w:rFonts w:ascii="Calibri" w:hAnsi="Calibri"/>
          <w:color w:val="0B2545"/>
          <w:sz w:val="22"/>
        </w:rPr>
        <w:t>Understand any employer plan and match; when stable enough, capture available matching contributions before lifestyle upgrades.</w:t>
      </w:r>
    </w:p>
    <w:p>
      <w:pPr>
        <w:numPr>
          <w:ilvl w:val="0"/>
          <w:numId w:val="35"/>
        </w:numPr>
        <w:spacing w:before="0" w:after="80" w:line="300" w:lineRule="auto"/>
      </w:pPr>
      <w:r>
        <w:rPr>
          <w:rFonts w:ascii="Calibri" w:hAnsi="Calibri"/>
          <w:color w:val="0B2545"/>
          <w:sz w:val="22"/>
        </w:rPr>
        <w:t>Learn diversification, fees, risk, time horizon, and tax treatment before selecting investments.</w:t>
      </w:r>
    </w:p>
    <w:p>
      <w:pPr>
        <w:numPr>
          <w:ilvl w:val="0"/>
          <w:numId w:val="35"/>
        </w:numPr>
        <w:spacing w:before="0" w:after="80" w:line="300" w:lineRule="auto"/>
      </w:pPr>
      <w:r>
        <w:rPr>
          <w:rFonts w:ascii="Calibri" w:hAnsi="Calibri"/>
          <w:color w:val="0B2545"/>
          <w:sz w:val="22"/>
        </w:rPr>
        <w:t>Use simple diversified, low-cost options as the educational starting point rather than individual-stock, crypto, or complex-product speculation.</w:t>
      </w:r>
    </w:p>
    <w:p>
      <w:pPr>
        <w:numPr>
          <w:ilvl w:val="0"/>
          <w:numId w:val="35"/>
        </w:numPr>
        <w:spacing w:before="0" w:after="80" w:line="300" w:lineRule="auto"/>
      </w:pPr>
      <w:r>
        <w:rPr>
          <w:rFonts w:ascii="Calibri" w:hAnsi="Calibri"/>
          <w:color w:val="0B2545"/>
          <w:sz w:val="22"/>
        </w:rPr>
        <w:t>Evaluate education, skills, a home, land, or other ownership goals by complete cost, legal title, upkeep, and the effect on every other goal; none is required to complete the course.</w:t>
      </w:r>
    </w:p>
    <w:p>
      <w:pPr>
        <w:numPr>
          <w:ilvl w:val="0"/>
          <w:numId w:val="35"/>
        </w:numPr>
        <w:spacing w:before="0" w:after="80" w:line="300" w:lineRule="auto"/>
      </w:pPr>
      <w:r>
        <w:rPr>
          <w:rFonts w:ascii="Calibri" w:hAnsi="Calibri"/>
          <w:color w:val="0B2545"/>
          <w:sz w:val="22"/>
        </w:rPr>
        <w:t>Review Social Security estimates, locate old accounts, confirm owners and beneficiaries, and verify current contribution and tax rules each year.</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Locate existing accounts and learn the basics; never invest bill or emergency money.</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Capture an affordable match and begin simple, diversified, low-cost long-term saving.</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Increase long-term contributions and set optional education, home, land, or other ownership goals.</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Coordinate retirement income, fees, beneficiaries, records, giving, and asset transfer.</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After establishing earned income and a basic cushion, she starts a small retirement contribution and compares education choices by total cost and likely completion.</w:t>
      </w:r>
    </w:p>
    <w:p>
      <w:pPr>
        <w:spacing w:before="0" w:after="120" w:line="300" w:lineRule="auto"/>
      </w:pPr>
      <w:r>
        <w:rPr>
          <w:rFonts w:ascii="Calibri" w:hAnsi="Calibri"/>
          <w:b/>
          <w:color w:val="0B2545"/>
          <w:sz w:val="22"/>
        </w:rPr>
        <w:t xml:space="preserve">Nina and Carlos: </w:t>
      </w:r>
      <w:r>
        <w:rPr>
          <w:rFonts w:ascii="Calibri" w:hAnsi="Calibri"/>
          <w:i w:val="0"/>
          <w:color w:val="0B2545"/>
          <w:sz w:val="22"/>
        </w:rPr>
        <w:t>They confirm both available employer matches before increasing lifestyle spending.</w:t>
      </w:r>
    </w:p>
    <w:p>
      <w:pPr>
        <w:spacing w:before="0" w:after="120" w:line="300" w:lineRule="auto"/>
      </w:pPr>
      <w:r>
        <w:rPr>
          <w:rFonts w:ascii="Calibri" w:hAnsi="Calibri"/>
          <w:b/>
          <w:color w:val="0B2545"/>
          <w:sz w:val="22"/>
        </w:rPr>
        <w:t xml:space="preserve">James: </w:t>
      </w:r>
      <w:r>
        <w:rPr>
          <w:rFonts w:ascii="Calibri" w:hAnsi="Calibri"/>
          <w:i w:val="0"/>
          <w:color w:val="0B2545"/>
          <w:sz w:val="22"/>
        </w:rPr>
        <w:t>He obtains a Social Security estimate, keeps his match, chooses a sustainable contribution, and schedules annual increases rather than chasing a risky shortcut.</w:t>
      </w:r>
    </w:p>
    <w:p>
      <w:pPr>
        <w:spacing w:before="0" w:after="120" w:line="300" w:lineRule="auto"/>
      </w:pPr>
      <w:r>
        <w:rPr>
          <w:rFonts w:ascii="Calibri" w:hAnsi="Calibri"/>
          <w:b/>
          <w:color w:val="0B2545"/>
          <w:sz w:val="22"/>
        </w:rPr>
        <w:t xml:space="preserve">Evelyn: </w:t>
      </w:r>
      <w:r>
        <w:rPr>
          <w:rFonts w:ascii="Calibri" w:hAnsi="Calibri"/>
          <w:i w:val="0"/>
          <w:color w:val="0B2545"/>
          <w:sz w:val="22"/>
        </w:rPr>
        <w:t>She coordinates retirement income, account owners, beneficiaries, home records, and the people who should receive or manage assets later.</w:t>
      </w:r>
    </w:p>
    <w:p>
      <w:pPr>
        <w:pStyle w:val="Heading2"/>
        <w:keepNext/>
        <w:pageBreakBefore/>
        <w:spacing w:before="60" w:after="30" w:line="240" w:lineRule="auto"/>
      </w:pPr>
      <w:r>
        <w:rPr>
          <w:sz w:val="26"/>
        </w:rPr>
        <w:t>Working exercise: Long-Term Asset Review</w:t>
      </w:r>
    </w:p>
    <w:p>
      <w:pPr>
        <w:spacing w:before="0" w:after="16" w:line="240" w:lineRule="auto"/>
      </w:pPr>
      <w:r>
        <w:rPr>
          <w:rFonts w:ascii="Calibri" w:hAnsi="Calibri"/>
          <w:i w:val="0"/>
          <w:color w:val="5B6573"/>
          <w:sz w:val="18"/>
        </w:rPr>
        <w:t>Do not print passwords or full account numbers. Ownership goals are optional; choose only what serves your actual life.</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2880"/>
        <w:gridCol w:w="3096"/>
        <w:gridCol w:w="3384"/>
      </w:tblGrid>
      <w:tr>
        <w:trPr>
          <w:tblHeader w:val="true"/>
          <w:cantSplit/>
        </w:trPr>
        <w:tc>
          <w:tcPr>
            <w:tcW w:type="dxa" w:w="2880"/>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Asset or goal</w:t>
            </w:r>
          </w:p>
        </w:tc>
        <w:tc>
          <w:tcPr>
            <w:tcW w:type="dxa" w:w="30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Current answer</w:t>
            </w:r>
          </w:p>
        </w:tc>
        <w:tc>
          <w:tcPr>
            <w:tcW w:type="dxa" w:w="338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 / date</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Accessible cash reserves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Workplace plan</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Yes / No / Unknown</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My contribution</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 or $________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New: ____% / $________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Employer match</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Confirmed: 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Investment / diversification</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Fees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Old accounts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Education / skills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Goal: 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Complete cost: 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Home / land - optional</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Goal: 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Ownership / upkeep: 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Social Security estimate</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 at age 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Reviewed: 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Owner / beneficiary / records</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Checked: ______________</w:t>
            </w:r>
          </w:p>
        </w:tc>
      </w:tr>
      <w:tr>
        <w:trPr>
          <w:cantSplit/>
        </w:trPr>
        <w:tc>
          <w:tcPr>
            <w:tcW w:type="dxa" w:w="2880"/>
            <w:tcMar>
              <w:top w:w="35" w:type="dxa"/>
              <w:start w:w="95" w:type="dxa"/>
              <w:bottom w:w="35" w:type="dxa"/>
              <w:end w:w="95" w:type="dxa"/>
            </w:tcMar>
            <w:vAlign w:val="center"/>
          </w:tcPr>
          <w:p>
            <w:pPr>
              <w:spacing w:after="0" w:line="240" w:lineRule="auto" w:before="0"/>
            </w:pPr>
            <w:r>
              <w:rPr>
                <w:rFonts w:ascii="Calibri" w:hAnsi="Calibri"/>
                <w:color w:val="0B2545"/>
                <w:sz w:val="17"/>
              </w:rPr>
              <w:t>Five-year asset goal</w:t>
            </w:r>
          </w:p>
        </w:tc>
        <w:tc>
          <w:tcPr>
            <w:tcW w:type="dxa" w:w="3096"/>
            <w:tcMar>
              <w:top w:w="35" w:type="dxa"/>
              <w:start w:w="95" w:type="dxa"/>
              <w:bottom w:w="35" w:type="dxa"/>
              <w:end w:w="95" w:type="dxa"/>
            </w:tcMar>
            <w:vAlign w:val="center"/>
          </w:tcPr>
          <w:p>
            <w:pPr>
              <w:spacing w:after="0" w:line="240" w:lineRule="auto" w:before="0"/>
            </w:pPr>
            <w:r>
              <w:rPr>
                <w:rFonts w:ascii="Calibri" w:hAnsi="Calibri"/>
                <w:color w:val="0B2545"/>
                <w:sz w:val="17"/>
              </w:rPr>
              <w:t>________________________</w:t>
            </w:r>
          </w:p>
        </w:tc>
        <w:tc>
          <w:tcPr>
            <w:tcW w:type="dxa" w:w="3384"/>
            <w:tcMar>
              <w:top w:w="35" w:type="dxa"/>
              <w:start w:w="95" w:type="dxa"/>
              <w:bottom w:w="35" w:type="dxa"/>
              <w:end w:w="95" w:type="dxa"/>
            </w:tcMar>
            <w:vAlign w:val="center"/>
          </w:tcPr>
          <w:p>
            <w:pPr>
              <w:spacing w:after="0" w:line="240" w:lineRule="auto" w:before="0"/>
            </w:pPr>
            <w:r>
              <w:rPr>
                <w:rFonts w:ascii="Calibri" w:hAnsi="Calibri"/>
                <w:color w:val="0B2545"/>
                <w:sz w:val="17"/>
              </w:rPr>
              <w:t>First step: _____________</w:t>
            </w:r>
          </w:p>
        </w:tc>
      </w:tr>
    </w:tbl>
    <w:p>
      <w:pPr>
        <w:pStyle w:val="Heading2"/>
        <w:keepNext/>
        <w:spacing w:before="60" w:after="30" w:line="240" w:lineRule="auto"/>
      </w:pPr>
      <w:r>
        <w:rPr>
          <w:sz w:val="22"/>
        </w:rPr>
        <w:t>Real-life questions</w:t>
      </w:r>
    </w:p>
    <w:p>
      <w:pPr>
        <w:numPr>
          <w:ilvl w:val="0"/>
          <w:numId w:val="36"/>
        </w:numPr>
        <w:spacing w:before="0" w:after="16" w:line="240" w:lineRule="auto"/>
      </w:pPr>
      <w:r>
        <w:rPr>
          <w:rFonts w:ascii="Calibri" w:hAnsi="Calibri"/>
          <w:color w:val="0B2545"/>
          <w:sz w:val="18"/>
        </w:rPr>
        <w:t>Which asset would create useful future income, lower a necessary cost, or expand family opportunity?</w:t>
      </w:r>
    </w:p>
    <w:p>
      <w:pPr>
        <w:numPr>
          <w:ilvl w:val="0"/>
          <w:numId w:val="36"/>
        </w:numPr>
        <w:spacing w:before="0" w:after="16" w:line="240" w:lineRule="auto"/>
      </w:pPr>
      <w:r>
        <w:rPr>
          <w:rFonts w:ascii="Calibri" w:hAnsi="Calibri"/>
          <w:color w:val="0B2545"/>
          <w:sz w:val="18"/>
        </w:rPr>
        <w:t>What do you want work to look like at 60, 67, or 75?</w:t>
      </w:r>
    </w:p>
    <w:p>
      <w:pPr>
        <w:numPr>
          <w:ilvl w:val="0"/>
          <w:numId w:val="36"/>
        </w:numPr>
        <w:spacing w:before="0" w:after="16" w:line="240" w:lineRule="auto"/>
      </w:pPr>
      <w:r>
        <w:rPr>
          <w:rFonts w:ascii="Calibri" w:hAnsi="Calibri"/>
          <w:color w:val="0B2545"/>
          <w:sz w:val="18"/>
        </w:rPr>
        <w:t>What are the fees and diversification of your current investment?</w:t>
      </w:r>
    </w:p>
    <w:p>
      <w:pPr>
        <w:numPr>
          <w:ilvl w:val="0"/>
          <w:numId w:val="36"/>
        </w:numPr>
        <w:spacing w:before="0" w:after="16" w:line="240" w:lineRule="auto"/>
      </w:pPr>
      <w:r>
        <w:rPr>
          <w:rFonts w:ascii="Calibri" w:hAnsi="Calibri"/>
          <w:color w:val="0B2545"/>
          <w:sz w:val="18"/>
        </w:rPr>
        <w:t>What ownership, title, fee, or beneficiary detail could cause an asset to be lost?</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Long-Term Asset Review.</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Review retirement contributions, match, investment, fees, owner, and beneficiary.</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Obtain a current Social Security estimate.</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Start, increase, or schedule one asset-building action and one five-year ownership goal.</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An asset-building action starts or increases, or a dated prerequisite plan exists when current cash flow cannot support one.</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Confirm the retirement deduction and match shown on the paystub; do not assume enrollment happened correctly.</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PART IV - PROTECT, BUILD, AND PASS IT ON</w:t>
      </w:r>
    </w:p>
    <w:p>
      <w:pPr>
        <w:keepNext/>
        <w:pageBreakBefore w:val="0"/>
        <w:spacing w:before="0" w:after="60"/>
      </w:pPr>
      <w:r>
        <w:rPr>
          <w:rFonts w:ascii="Calibri" w:hAnsi="Calibri"/>
          <w:b/>
          <w:color w:val="7A5A00"/>
          <w:sz w:val="19"/>
        </w:rPr>
        <w:t>SESSION 14</w:t>
      </w:r>
    </w:p>
    <w:p>
      <w:pPr>
        <w:pStyle w:val="Heading1"/>
        <w:keepNext/>
      </w:pPr>
      <w:r>
        <w:t>Keep Control With a 30 / 90 / 365 Action Plan</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4F6F9"/>
          </w:tcPr>
          <w:p>
            <w:pPr>
              <w:spacing w:before="40" w:after="40" w:line="288" w:lineRule="auto"/>
            </w:pPr>
            <w:r>
              <w:rPr>
                <w:rFonts w:ascii="Calibri" w:hAnsi="Calibri"/>
                <w:b/>
                <w:color w:val="2E74B5"/>
                <w:sz w:val="19"/>
              </w:rPr>
              <w:t xml:space="preserve">SESSION OUTCOME  </w:t>
            </w:r>
            <w:r>
              <w:rPr>
                <w:rFonts w:ascii="Calibri" w:hAnsi="Calibri"/>
                <w:b/>
                <w:color w:val="0B2545"/>
                <w:sz w:val="22"/>
              </w:rPr>
              <w:t>Reduce the entire course to a one-page plan that can be restarted after any setback.</w:t>
            </w:r>
          </w:p>
        </w:tc>
      </w:tr>
    </w:tbl>
    <w:p>
      <w:pPr>
        <w:spacing w:after="0"/>
      </w:pPr>
    </w:p>
    <w:p>
      <w:pPr>
        <w:pStyle w:val="Heading2"/>
        <w:keepNext/>
      </w:pPr>
      <w:r>
        <w:t>The real-life problem</w:t>
      </w:r>
    </w:p>
    <w:p>
      <w:pPr>
        <w:spacing w:before="0" w:after="120" w:line="300" w:lineRule="auto"/>
      </w:pPr>
      <w:r>
        <w:rPr>
          <w:rFonts w:ascii="Calibri" w:hAnsi="Calibri"/>
          <w:i w:val="0"/>
          <w:color w:val="0B2545"/>
          <w:sz w:val="22"/>
        </w:rPr>
        <w:t>Motivation fades, life changes, and overly complicated plans are abandoned. A missed goal then becomes an excuse to avoid the numbers again.</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GOVERNING PRINCIPLE  </w:t>
            </w:r>
            <w:r>
              <w:rPr>
                <w:rFonts w:ascii="Calibri" w:hAnsi="Calibri"/>
                <w:b/>
                <w:color w:val="0B2545"/>
                <w:sz w:val="22"/>
              </w:rPr>
              <w:t>A useful plan is simple enough to restart. Measure progress by control and resilience, not comparison.</w:t>
            </w:r>
          </w:p>
        </w:tc>
      </w:tr>
    </w:tbl>
    <w:p>
      <w:pPr>
        <w:spacing w:after="0"/>
      </w:pPr>
    </w:p>
    <w:p>
      <w:pPr>
        <w:pStyle w:val="Heading2"/>
        <w:keepNext/>
      </w:pPr>
      <w:r>
        <w:t>How to solve the problem</w:t>
      </w:r>
    </w:p>
    <w:p>
      <w:pPr>
        <w:numPr>
          <w:ilvl w:val="0"/>
          <w:numId w:val="37"/>
        </w:numPr>
        <w:spacing w:before="0" w:after="80" w:line="300" w:lineRule="auto"/>
      </w:pPr>
      <w:r>
        <w:rPr>
          <w:rFonts w:ascii="Calibri" w:hAnsi="Calibri"/>
          <w:color w:val="0B2545"/>
          <w:sz w:val="22"/>
        </w:rPr>
        <w:t>Choose one 30-day stabilization action, one 90-day strengthening action, one 365-day building goal, and one five-year asset or transfer goal.</w:t>
      </w:r>
    </w:p>
    <w:p>
      <w:pPr>
        <w:numPr>
          <w:ilvl w:val="0"/>
          <w:numId w:val="37"/>
        </w:numPr>
        <w:spacing w:before="0" w:after="80" w:line="300" w:lineRule="auto"/>
      </w:pPr>
      <w:r>
        <w:rPr>
          <w:rFonts w:ascii="Calibri" w:hAnsi="Calibri"/>
          <w:color w:val="0B2545"/>
          <w:sz w:val="22"/>
        </w:rPr>
        <w:t>Schedule a 20-minute Monthly Money Check-In to update balances, the calendar, upcoming expenses, and your current path.</w:t>
      </w:r>
    </w:p>
    <w:p>
      <w:pPr>
        <w:numPr>
          <w:ilvl w:val="0"/>
          <w:numId w:val="37"/>
        </w:numPr>
        <w:spacing w:before="0" w:after="80" w:line="300" w:lineRule="auto"/>
      </w:pPr>
      <w:r>
        <w:rPr>
          <w:rFonts w:ascii="Calibri" w:hAnsi="Calibri"/>
          <w:color w:val="0B2545"/>
          <w:sz w:val="22"/>
        </w:rPr>
        <w:t>Use the reset sequence after a setback: stop, update facts, protect the Monthly Essential-Cost Total, reorder the available money, and resume.</w:t>
      </w:r>
    </w:p>
    <w:p>
      <w:pPr>
        <w:numPr>
          <w:ilvl w:val="0"/>
          <w:numId w:val="37"/>
        </w:numPr>
        <w:spacing w:before="0" w:after="80" w:line="300" w:lineRule="auto"/>
      </w:pPr>
      <w:r>
        <w:rPr>
          <w:rFonts w:ascii="Calibri" w:hAnsi="Calibri"/>
          <w:color w:val="0B2545"/>
          <w:sz w:val="22"/>
        </w:rPr>
        <w:t>Review taxes, benefits, insurance, retirement rules, beneficiaries, and credit reports on an annual calendar.</w:t>
      </w:r>
    </w:p>
    <w:p>
      <w:pPr>
        <w:numPr>
          <w:ilvl w:val="0"/>
          <w:numId w:val="37"/>
        </w:numPr>
        <w:spacing w:before="0" w:after="80" w:line="300" w:lineRule="auto"/>
      </w:pPr>
      <w:r>
        <w:rPr>
          <w:rFonts w:ascii="Calibri" w:hAnsi="Calibri"/>
          <w:color w:val="0B2545"/>
          <w:sz w:val="22"/>
        </w:rPr>
        <w:t>Choose accountability that supports decisions without controlling or shaming the participant.</w:t>
      </w:r>
    </w:p>
    <w:p>
      <w:pPr>
        <w:pStyle w:val="Heading2"/>
        <w:keepNext/>
        <w:pageBreakBefore/>
      </w:pPr>
      <w:r>
        <w:t>Use this lesson on your current path</w:t>
      </w:r>
    </w:p>
    <w:p>
      <w:pPr>
        <w:spacing w:before="0" w:after="80" w:line="300" w:lineRule="auto"/>
      </w:pPr>
      <w:r>
        <w:rPr>
          <w:rFonts w:ascii="Calibri" w:hAnsi="Calibri"/>
          <w:i w:val="0"/>
          <w:color w:val="5B6573"/>
          <w:sz w:val="22"/>
        </w:rPr>
        <w:t>Choose the row that best describes this month. A path is a condition, not a label, and it can change as life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656"/>
        <w:gridCol w:w="7704"/>
      </w:tblGrid>
      <w:tr>
        <w:trPr>
          <w:tblHeader w:val="true"/>
          <w:cantSplit/>
        </w:trPr>
        <w:tc>
          <w:tcPr>
            <w:tcW w:type="dxa" w:w="1656"/>
            <w:shd w:fill="E8EEF5"/>
            <w:tcMar>
              <w:top w:w="80" w:type="dxa"/>
              <w:start w:w="120" w:type="dxa"/>
              <w:bottom w:w="80" w:type="dxa"/>
              <w:end w:w="120" w:type="dxa"/>
            </w:tcMar>
            <w:vAlign w:val="center"/>
          </w:tcPr>
          <w:p>
            <w:pPr>
              <w:jc w:val="left"/>
            </w:pPr>
            <w:r>
              <w:rPr>
                <w:rFonts w:ascii="Calibri" w:hAnsi="Calibri"/>
                <w:b/>
                <w:color w:val="0B2545"/>
                <w:sz w:val="18"/>
              </w:rPr>
              <w:t>Current path</w:t>
            </w:r>
          </w:p>
        </w:tc>
        <w:tc>
          <w:tcPr>
            <w:tcW w:type="dxa" w:w="7704"/>
            <w:shd w:fill="E8EEF5"/>
            <w:tcMar>
              <w:top w:w="80" w:type="dxa"/>
              <w:start w:w="120" w:type="dxa"/>
              <w:bottom w:w="80" w:type="dxa"/>
              <w:end w:w="120" w:type="dxa"/>
            </w:tcMar>
            <w:vAlign w:val="center"/>
          </w:tcPr>
          <w:p>
            <w:pPr>
              <w:jc w:val="left"/>
            </w:pPr>
            <w:r>
              <w:rPr>
                <w:rFonts w:ascii="Calibri" w:hAnsi="Calibri"/>
                <w:b/>
                <w:color w:val="0B2545"/>
                <w:sz w:val="18"/>
              </w:rPr>
              <w:t>What to do in this session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Crisis</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Finish a next-payday and 30-day stabilization plan.</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Stability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Set a 90-day emergency-savings and debt-maintenance goal.</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Growth</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Add a one-year action and a five-year asset-building goal.</w:t>
            </w:r>
          </w:p>
        </w:tc>
      </w:tr>
      <w:tr>
        <w:trPr>
          <w:cantSplit/>
        </w:trPr>
        <w:tc>
          <w:tcPr>
            <w:tcW w:type="dxa" w:w="1656"/>
            <w:tcMar>
              <w:top w:w="80" w:type="dxa"/>
              <w:start w:w="120" w:type="dxa"/>
              <w:bottom w:w="80" w:type="dxa"/>
              <w:end w:w="120" w:type="dxa"/>
            </w:tcMar>
            <w:vAlign w:val="center"/>
          </w:tcPr>
          <w:p>
            <w:pPr>
              <w:spacing w:after="20" w:line="264" w:lineRule="auto"/>
            </w:pPr>
            <w:r>
              <w:rPr>
                <w:rFonts w:ascii="Calibri" w:hAnsi="Calibri"/>
                <w:color w:val="0B2545"/>
                <w:sz w:val="18"/>
              </w:rPr>
              <w:t>Legacy</w:t>
            </w:r>
          </w:p>
        </w:tc>
        <w:tc>
          <w:tcPr>
            <w:tcW w:type="dxa" w:w="7704"/>
            <w:tcMar>
              <w:top w:w="80" w:type="dxa"/>
              <w:start w:w="120" w:type="dxa"/>
              <w:bottom w:w="80" w:type="dxa"/>
              <w:end w:w="120" w:type="dxa"/>
            </w:tcMar>
            <w:vAlign w:val="center"/>
          </w:tcPr>
          <w:p>
            <w:pPr>
              <w:spacing w:after="20" w:line="264" w:lineRule="auto"/>
            </w:pPr>
            <w:r>
              <w:rPr>
                <w:rFonts w:ascii="Calibri" w:hAnsi="Calibri"/>
                <w:color w:val="0B2545"/>
                <w:sz w:val="18"/>
              </w:rPr>
              <w:t>Add a five-year protection or transfer goal and an annual family review.</w:t>
            </w:r>
          </w:p>
        </w:tc>
      </w:tr>
    </w:tbl>
    <w:p>
      <w:pPr>
        <w:spacing w:after="0"/>
      </w:pPr>
    </w:p>
    <w:p>
      <w:pPr>
        <w:pStyle w:val="Heading2"/>
        <w:keepNext/>
      </w:pPr>
      <w:r>
        <w:t>Across real lives</w:t>
      </w:r>
    </w:p>
    <w:p>
      <w:pPr>
        <w:spacing w:before="0" w:after="120" w:line="300" w:lineRule="auto"/>
      </w:pPr>
      <w:r>
        <w:rPr>
          <w:rFonts w:ascii="Calibri" w:hAnsi="Calibri"/>
          <w:b/>
          <w:color w:val="0B2545"/>
          <w:sz w:val="22"/>
        </w:rPr>
        <w:t xml:space="preserve">Maya: </w:t>
      </w:r>
      <w:r>
        <w:rPr>
          <w:rFonts w:ascii="Calibri" w:hAnsi="Calibri"/>
          <w:i w:val="0"/>
          <w:color w:val="0B2545"/>
          <w:sz w:val="22"/>
        </w:rPr>
        <w:t>Her plan covers the next semester, a basic cushion, no new revolving debt, and a five-year education or asset goal.</w:t>
      </w:r>
    </w:p>
    <w:p>
      <w:pPr>
        <w:spacing w:before="0" w:after="120" w:line="300" w:lineRule="auto"/>
      </w:pPr>
      <w:r>
        <w:rPr>
          <w:rFonts w:ascii="Calibri" w:hAnsi="Calibri"/>
          <w:b/>
          <w:color w:val="0B2545"/>
          <w:sz w:val="22"/>
        </w:rPr>
        <w:t xml:space="preserve">Jordan: </w:t>
      </w:r>
      <w:r>
        <w:rPr>
          <w:rFonts w:ascii="Calibri" w:hAnsi="Calibri"/>
          <w:i w:val="0"/>
          <w:color w:val="0B2545"/>
          <w:sz w:val="22"/>
        </w:rPr>
        <w:t>The first page is a crisis plan: protect necessities, make scheduled calls, verify benefits, and stop high-cost borrowing. A savings balance is not required to finish.</w:t>
      </w:r>
    </w:p>
    <w:p>
      <w:pPr>
        <w:spacing w:before="0" w:after="120" w:line="300" w:lineRule="auto"/>
      </w:pPr>
      <w:r>
        <w:rPr>
          <w:rFonts w:ascii="Calibri" w:hAnsi="Calibri"/>
          <w:b/>
          <w:color w:val="0B2545"/>
          <w:sz w:val="22"/>
        </w:rPr>
        <w:t xml:space="preserve">James: </w:t>
      </w:r>
      <w:r>
        <w:rPr>
          <w:rFonts w:ascii="Calibri" w:hAnsi="Calibri"/>
          <w:i w:val="0"/>
          <w:color w:val="0B2545"/>
          <w:sz w:val="22"/>
        </w:rPr>
        <w:t>His plan combines a restaurant reset, vehicle fund, credit-card target, retirement action, and Social Security review.</w:t>
      </w:r>
    </w:p>
    <w:p>
      <w:pPr>
        <w:spacing w:before="0" w:after="120" w:line="300" w:lineRule="auto"/>
      </w:pPr>
      <w:r>
        <w:rPr>
          <w:rFonts w:ascii="Calibri" w:hAnsi="Calibri"/>
          <w:b/>
          <w:color w:val="0B2545"/>
          <w:sz w:val="22"/>
        </w:rPr>
        <w:t xml:space="preserve">Evelyn: </w:t>
      </w:r>
      <w:r>
        <w:rPr>
          <w:rFonts w:ascii="Calibri" w:hAnsi="Calibri"/>
          <w:i w:val="0"/>
          <w:color w:val="0B2545"/>
          <w:sz w:val="22"/>
        </w:rPr>
        <w:t>Her plan adds a home-maintenance priority, fraud controls, document review, and a five-year transfer goal.</w:t>
      </w:r>
    </w:p>
    <w:p>
      <w:pPr>
        <w:pStyle w:val="Heading2"/>
        <w:keepNext/>
        <w:pageBreakBefore/>
        <w:spacing w:before="60" w:after="30" w:line="240" w:lineRule="auto"/>
      </w:pPr>
      <w:r>
        <w:rPr>
          <w:sz w:val="26"/>
        </w:rPr>
        <w:t>Capstone exercise: My 30 / 90 / 365 Action Plan</w:t>
      </w:r>
    </w:p>
    <w:p>
      <w:pPr>
        <w:spacing w:before="0" w:after="16" w:line="240" w:lineRule="auto"/>
      </w:pPr>
      <w:r>
        <w:rPr>
          <w:rFonts w:ascii="Calibri" w:hAnsi="Calibri"/>
          <w:i w:val="0"/>
          <w:color w:val="5B6573"/>
          <w:sz w:val="18"/>
        </w:rPr>
        <w:t>Keep this one page where you will see it. Update it whenever income, housing, family, health, or work changes.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1728"/>
        <w:gridCol w:w="3024"/>
        <w:gridCol w:w="2664"/>
        <w:gridCol w:w="1944"/>
      </w:tblGrid>
      <w:tr>
        <w:trPr>
          <w:tblHeader w:val="true"/>
          <w:cantSplit/>
        </w:trPr>
        <w:tc>
          <w:tcPr>
            <w:tcW w:type="dxa" w:w="1728"/>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Time</w:t>
            </w:r>
          </w:p>
        </w:tc>
        <w:tc>
          <w:tcPr>
            <w:tcW w:type="dxa" w:w="302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c>
          <w:tcPr>
            <w:tcW w:type="dxa" w:w="2664"/>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Amount / evidence</w:t>
            </w:r>
          </w:p>
        </w:tc>
        <w:tc>
          <w:tcPr>
            <w:tcW w:type="dxa" w:w="194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Review date</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Next payday</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 / 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30 days - stabilize</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 / 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90 days - strengthen</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 / 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365 days - build</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 / 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Five years - asset</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 / 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Protect / transfer</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Evidence: ___________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Monthly essential-cost total</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Priority: 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Planned Fun Money</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Rule: 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 per payday</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Emergency / planned expense</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Debt / credit</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r>
        <w:trPr>
          <w:cantSplit/>
        </w:trPr>
        <w:tc>
          <w:tcPr>
            <w:tcW w:type="dxa" w:w="1728"/>
            <w:tcMar>
              <w:top w:w="35" w:type="dxa"/>
              <w:start w:w="95" w:type="dxa"/>
              <w:bottom w:w="35" w:type="dxa"/>
              <w:end w:w="95" w:type="dxa"/>
            </w:tcMar>
            <w:vAlign w:val="center"/>
          </w:tcPr>
          <w:p>
            <w:pPr>
              <w:spacing w:after="0" w:line="240" w:lineRule="auto" w:before="0"/>
            </w:pPr>
            <w:r>
              <w:rPr>
                <w:rFonts w:ascii="Calibri" w:hAnsi="Calibri"/>
                <w:color w:val="0B2545"/>
                <w:sz w:val="17"/>
              </w:rPr>
              <w:t>Protection / retirement</w:t>
            </w:r>
          </w:p>
        </w:tc>
        <w:tc>
          <w:tcPr>
            <w:tcW w:type="dxa" w:w="3024"/>
            <w:tcMar>
              <w:top w:w="35" w:type="dxa"/>
              <w:start w:w="95" w:type="dxa"/>
              <w:bottom w:w="35" w:type="dxa"/>
              <w:end w:w="95" w:type="dxa"/>
            </w:tcMar>
            <w:vAlign w:val="center"/>
          </w:tcPr>
          <w:p>
            <w:pPr>
              <w:spacing w:after="0" w:line="240" w:lineRule="auto" w:before="0"/>
            </w:pPr>
            <w:r>
              <w:rPr>
                <w:rFonts w:ascii="Calibri" w:hAnsi="Calibri"/>
                <w:color w:val="0B2545"/>
                <w:sz w:val="17"/>
              </w:rPr>
              <w:t>________________</w:t>
            </w:r>
          </w:p>
        </w:tc>
        <w:tc>
          <w:tcPr>
            <w:tcW w:type="dxa" w:w="2664"/>
            <w:tcMar>
              <w:top w:w="35" w:type="dxa"/>
              <w:start w:w="95" w:type="dxa"/>
              <w:bottom w:w="35" w:type="dxa"/>
              <w:end w:w="95" w:type="dxa"/>
            </w:tcMar>
            <w:vAlign w:val="center"/>
          </w:tcPr>
          <w:p>
            <w:pPr>
              <w:spacing w:after="0" w:line="240" w:lineRule="auto" w:before="0"/>
            </w:pPr>
            <w:r>
              <w:rPr>
                <w:rFonts w:ascii="Calibri" w:hAnsi="Calibri"/>
                <w:color w:val="0B2545"/>
                <w:sz w:val="17"/>
              </w:rPr>
              <w:t>Evidence: ___________</w:t>
            </w:r>
          </w:p>
        </w:tc>
        <w:tc>
          <w:tcPr>
            <w:tcW w:type="dxa" w:w="1944"/>
            <w:tcMar>
              <w:top w:w="35" w:type="dxa"/>
              <w:start w:w="95" w:type="dxa"/>
              <w:bottom w:w="35" w:type="dxa"/>
              <w:end w:w="95" w:type="dxa"/>
            </w:tcMar>
            <w:vAlign w:val="center"/>
          </w:tcPr>
          <w:p>
            <w:pPr>
              <w:spacing w:after="0" w:line="240" w:lineRule="auto" w:before="0"/>
              <w:jc w:val="center"/>
            </w:pPr>
            <w:r>
              <w:rPr>
                <w:rFonts w:ascii="Calibri" w:hAnsi="Calibri"/>
                <w:color w:val="0B2545"/>
                <w:sz w:val="17"/>
              </w:rPr>
              <w:t>____________</w:t>
            </w:r>
          </w:p>
        </w:tc>
      </w:tr>
    </w:tbl>
    <w:p>
      <w:pPr>
        <w:pStyle w:val="Heading2"/>
        <w:keepNext/>
        <w:spacing w:before="60" w:after="30" w:line="240" w:lineRule="auto"/>
      </w:pPr>
      <w:r>
        <w:rPr>
          <w:sz w:val="22"/>
        </w:rPr>
        <w:t>Real-life questions</w:t>
      </w:r>
    </w:p>
    <w:p>
      <w:pPr>
        <w:numPr>
          <w:ilvl w:val="0"/>
          <w:numId w:val="38"/>
        </w:numPr>
        <w:spacing w:before="0" w:after="16" w:line="240" w:lineRule="auto"/>
      </w:pPr>
      <w:r>
        <w:rPr>
          <w:rFonts w:ascii="Calibri" w:hAnsi="Calibri"/>
          <w:color w:val="0B2545"/>
          <w:sz w:val="18"/>
        </w:rPr>
        <w:t>Which action will make the next three actions easier?</w:t>
      </w:r>
    </w:p>
    <w:p>
      <w:pPr>
        <w:numPr>
          <w:ilvl w:val="0"/>
          <w:numId w:val="38"/>
        </w:numPr>
        <w:spacing w:before="0" w:after="16" w:line="240" w:lineRule="auto"/>
      </w:pPr>
      <w:r>
        <w:rPr>
          <w:rFonts w:ascii="Calibri" w:hAnsi="Calibri"/>
          <w:color w:val="0B2545"/>
          <w:sz w:val="18"/>
        </w:rPr>
        <w:t>What warning sign tells you that the plan is slipping?</w:t>
      </w:r>
    </w:p>
    <w:p>
      <w:pPr>
        <w:numPr>
          <w:ilvl w:val="0"/>
          <w:numId w:val="38"/>
        </w:numPr>
        <w:spacing w:before="0" w:after="16" w:line="240" w:lineRule="auto"/>
      </w:pPr>
      <w:r>
        <w:rPr>
          <w:rFonts w:ascii="Calibri" w:hAnsi="Calibri"/>
          <w:color w:val="0B2545"/>
          <w:sz w:val="18"/>
        </w:rPr>
        <w:t>Who can provide accountability without control or shame?</w:t>
      </w:r>
    </w:p>
    <w:p>
      <w:pPr>
        <w:pStyle w:val="Heading2"/>
        <w:keepNext/>
        <w:spacing w:before="60" w:after="30" w:line="240" w:lineRule="auto"/>
      </w:pPr>
      <w:r>
        <w:rPr>
          <w:sz w:val="22"/>
        </w:rP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35" w:type="dxa"/>
              <w:start w:w="95" w:type="dxa"/>
              <w:bottom w:w="35" w:type="dxa"/>
              <w:end w:w="95" w:type="dxa"/>
            </w:tcMar>
            <w:vAlign w:val="center"/>
          </w:tcPr>
          <w:p>
            <w:pPr>
              <w:spacing w:before="0" w:after="0" w:line="240" w:lineRule="auto"/>
              <w:jc w:val="center"/>
            </w:pPr>
            <w:r>
              <w:rPr>
                <w:rFonts w:ascii="Calibri" w:hAnsi="Calibri"/>
                <w:b/>
                <w:color w:val="0B2545"/>
                <w:sz w:val="16"/>
              </w:rPr>
              <w:t>Done</w:t>
            </w:r>
          </w:p>
        </w:tc>
        <w:tc>
          <w:tcPr>
            <w:tcW w:type="dxa" w:w="8496"/>
            <w:shd w:fill="E8EEF5"/>
            <w:tcMar>
              <w:top w:w="35" w:type="dxa"/>
              <w:start w:w="95" w:type="dxa"/>
              <w:bottom w:w="35" w:type="dxa"/>
              <w:end w:w="95" w:type="dxa"/>
            </w:tcMar>
            <w:vAlign w:val="center"/>
          </w:tcPr>
          <w:p>
            <w:pPr>
              <w:spacing w:before="0" w:after="0" w:line="240" w:lineRule="auto"/>
              <w:jc w:val="left"/>
            </w:pPr>
            <w:r>
              <w:rPr>
                <w:rFonts w:ascii="Calibri" w:hAnsi="Calibri"/>
                <w:b/>
                <w:color w:val="0B2545"/>
                <w:sz w:val="16"/>
              </w:rPr>
              <w:t>Action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Complete the one-page 30 / 90 / 365 Action Plan.</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Run a scenario involving a car repair, reduced work hours, or medical bill.</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Confirm automatic transfers and due dates.</w:t>
            </w:r>
          </w:p>
        </w:tc>
      </w:tr>
      <w:tr>
        <w:trPr>
          <w:cantSplit/>
        </w:trPr>
        <w:tc>
          <w:tcPr>
            <w:tcW w:type="dxa" w:w="864"/>
            <w:tcMar>
              <w:top w:w="35" w:type="dxa"/>
              <w:start w:w="95" w:type="dxa"/>
              <w:bottom w:w="35" w:type="dxa"/>
              <w:end w:w="95" w:type="dxa"/>
            </w:tcMar>
            <w:vAlign w:val="center"/>
          </w:tcPr>
          <w:p>
            <w:pPr>
              <w:spacing w:after="0" w:line="240" w:lineRule="auto" w:before="0"/>
              <w:jc w:val="center"/>
            </w:pPr>
            <w:r>
              <w:rPr>
                <w:rFonts w:ascii="Calibri" w:hAnsi="Calibri"/>
                <w:color w:val="0B2545"/>
                <w:sz w:val="17"/>
              </w:rPr>
            </w:r>
          </w:p>
        </w:tc>
        <w:tc>
          <w:tcPr>
            <w:tcW w:type="dxa" w:w="8496"/>
            <w:tcMar>
              <w:top w:w="35" w:type="dxa"/>
              <w:start w:w="95" w:type="dxa"/>
              <w:bottom w:w="35" w:type="dxa"/>
              <w:end w:w="95" w:type="dxa"/>
            </w:tcMar>
            <w:vAlign w:val="center"/>
          </w:tcPr>
          <w:p>
            <w:pPr>
              <w:spacing w:after="0" w:line="240" w:lineRule="auto" w:before="0"/>
            </w:pPr>
            <w:r>
              <w:rPr>
                <w:rFonts w:ascii="Calibri" w:hAnsi="Calibri"/>
                <w:color w:val="0B2545"/>
                <w:sz w:val="17"/>
              </w:rPr>
              <w:t>Schedule the next three Monthly Money Check-Ins.</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4F6F9"/>
          </w:tcPr>
          <w:p>
            <w:pPr>
              <w:spacing w:before="0" w:after="0" w:line="247" w:lineRule="auto"/>
            </w:pPr>
            <w:r>
              <w:rPr>
                <w:rFonts w:ascii="Calibri" w:hAnsi="Calibri"/>
                <w:b/>
                <w:color w:val="2E74B5"/>
                <w:sz w:val="16"/>
              </w:rPr>
              <w:t xml:space="preserve">MINIMUM RESULT  </w:t>
            </w:r>
            <w:r>
              <w:rPr>
                <w:rFonts w:ascii="Calibri" w:hAnsi="Calibri"/>
                <w:b/>
                <w:color w:val="0B2545"/>
                <w:sz w:val="18"/>
              </w:rPr>
              <w:t>A completed Action Plan, a next-payday plan, and dated 30-, 90-, and 365-day actions.</w:t>
            </w:r>
          </w:p>
        </w:tc>
      </w:tr>
    </w:tbl>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35" w:type="dxa"/>
              <w:start w:w="95" w:type="dxa"/>
              <w:bottom w:w="35" w:type="dxa"/>
              <w:end w:w="95" w:type="dxa"/>
            </w:tcMar>
            <w:vAlign w:val="center"/>
            <w:shd w:fill="FFF8E8"/>
          </w:tcPr>
          <w:p>
            <w:pPr>
              <w:spacing w:before="0" w:after="0" w:line="247" w:lineRule="auto"/>
            </w:pPr>
            <w:r>
              <w:rPr>
                <w:rFonts w:ascii="Calibri" w:hAnsi="Calibri"/>
                <w:b/>
                <w:color w:val="7A5A00"/>
                <w:sz w:val="16"/>
              </w:rPr>
              <w:t xml:space="preserve">NEXT-PAYDAY ACTION  </w:t>
            </w:r>
            <w:r>
              <w:rPr>
                <w:rFonts w:ascii="Calibri" w:hAnsi="Calibri"/>
                <w:b/>
                <w:color w:val="0B2545"/>
                <w:sz w:val="18"/>
              </w:rPr>
              <w:t>Use the one-page plan before the deposit is spent, then schedule the next check-in.</w:t>
            </w:r>
          </w:p>
        </w:tc>
      </w:tr>
    </w:tbl>
    <w:p>
      <w:pPr>
        <w:keepLines/>
        <w:spacing w:before="0" w:after="16" w:line="240" w:lineRule="auto"/>
        <w:shd w:fill="E8EEF5"/>
      </w:pPr>
      <w:r>
        <w:rPr>
          <w:rFonts w:ascii="Calibri" w:hAnsi="Calibri"/>
          <w:b/>
          <w:color w:val="2E74B5"/>
          <w:sz w:val="16"/>
        </w:rPr>
        <w:t xml:space="preserve">MY COMMITMENT  </w:t>
      </w:r>
      <w:r>
        <w:rPr>
          <w:rFonts w:ascii="Calibri" w:hAnsi="Calibri"/>
          <w:color w:val="0B2545"/>
          <w:sz w:val="16"/>
        </w:rPr>
        <w:t>Action / evidence: ____________________   Deadline: ________   Verification: ______________</w:t>
      </w:r>
    </w:p>
    <w:p>
      <w:pPr>
        <w:keepNext/>
        <w:pageBreakBefore/>
        <w:spacing w:before="0" w:after="60"/>
      </w:pPr>
      <w:r>
        <w:rPr>
          <w:rFonts w:ascii="Calibri" w:hAnsi="Calibri"/>
          <w:b/>
          <w:color w:val="7A5A00"/>
          <w:sz w:val="19"/>
        </w:rPr>
        <w:t>NATIONAL HELP DIRECTORY</w:t>
      </w:r>
    </w:p>
    <w:p>
      <w:pPr>
        <w:pStyle w:val="Heading1"/>
        <w:keepNext/>
      </w:pPr>
      <w:r>
        <w:t>Find Help Where You Live</w:t>
      </w:r>
    </w:p>
    <w:p>
      <w:pPr>
        <w:spacing w:before="0" w:after="120" w:line="300" w:lineRule="auto"/>
      </w:pPr>
      <w:r>
        <w:rPr>
          <w:rFonts w:ascii="Calibri" w:hAnsi="Calibri"/>
          <w:i w:val="0"/>
          <w:color w:val="0B2545"/>
          <w:sz w:val="22"/>
        </w:rPr>
        <w:t>One national course should not require a different edition for every community. These services connect people to current local help. Eligibility, hours, and services change, so verify details directly. If housing, utilities, medicine, food, transportation, or a legal deadline is at immediate risk, make contact before the deadline rather than waiting for the next class session.</w:t>
      </w:r>
    </w:p>
    <w:p>
      <w:pPr>
        <w:pStyle w:val="Heading2"/>
        <w:keepNext/>
        <w:spacing w:before="80" w:after="20"/>
      </w:pPr>
      <w:r>
        <w:rPr>
          <w:rFonts w:ascii="Calibri" w:hAnsi="Calibri"/>
          <w:b/>
          <w:color w:val="0B2545"/>
          <w:sz w:val="21"/>
        </w:rPr>
        <w:t>211</w:t>
      </w:r>
    </w:p>
    <w:p>
      <w:pPr>
        <w:spacing w:after="20" w:line="240" w:lineRule="auto"/>
      </w:pPr>
      <w:r>
        <w:rPr>
          <w:rFonts w:ascii="Calibri" w:hAnsi="Calibri"/>
          <w:color w:val="0B2545"/>
          <w:sz w:val="18"/>
        </w:rPr>
        <w:t>Local help with food, housing, utilities, transportation, caregiving, and other urgent needs.</w:t>
      </w:r>
    </w:p>
    <w:p>
      <w:pPr>
        <w:spacing w:after="40" w:line="240" w:lineRule="auto"/>
      </w:pPr>
      <w:r>
        <w:rPr>
          <w:rFonts w:ascii="Calibri" w:hAnsi="Calibri"/>
          <w:b/>
          <w:color w:val="5B6573"/>
          <w:sz w:val="17"/>
        </w:rPr>
        <w:t xml:space="preserve">Dial 211  |  </w:t>
      </w:r>
      <w:hyperlink r:id="rId11">
        <w:r>
          <w:rPr>
            <w:rFonts w:ascii="Calibri" w:hAnsi="Calibri"/>
            <w:color w:val="2E74B5"/>
            <w:u w:val="single"/>
          </w:rPr>
          <w:t>https://www.211.org/</w:t>
        </w:r>
      </w:hyperlink>
    </w:p>
    <w:p>
      <w:pPr>
        <w:pStyle w:val="Heading2"/>
        <w:keepNext/>
        <w:spacing w:before="80" w:after="20"/>
      </w:pPr>
      <w:r>
        <w:rPr>
          <w:rFonts w:ascii="Calibri" w:hAnsi="Calibri"/>
          <w:b/>
          <w:color w:val="0B2545"/>
          <w:sz w:val="21"/>
        </w:rPr>
        <w:t>USAGov benefits</w:t>
      </w:r>
    </w:p>
    <w:p>
      <w:pPr>
        <w:spacing w:after="20" w:line="240" w:lineRule="auto"/>
      </w:pPr>
      <w:r>
        <w:rPr>
          <w:rFonts w:ascii="Calibri" w:hAnsi="Calibri"/>
          <w:color w:val="0B2545"/>
          <w:sz w:val="18"/>
        </w:rPr>
        <w:t>Official starting point for federal and state benefit programs and financial-hardship resources.</w:t>
      </w:r>
    </w:p>
    <w:p>
      <w:pPr>
        <w:spacing w:after="40" w:line="240" w:lineRule="auto"/>
      </w:pPr>
      <w:r>
        <w:rPr>
          <w:rFonts w:ascii="Calibri" w:hAnsi="Calibri"/>
          <w:b/>
          <w:color w:val="5B6573"/>
          <w:sz w:val="17"/>
        </w:rPr>
        <w:t xml:space="preserve">1-844-USA-GOV1  |  </w:t>
      </w:r>
      <w:hyperlink r:id="rId12">
        <w:r>
          <w:rPr>
            <w:rFonts w:ascii="Calibri" w:hAnsi="Calibri"/>
            <w:color w:val="2E74B5"/>
            <w:u w:val="single"/>
          </w:rPr>
          <w:t>https://www.usa.gov/benefits</w:t>
        </w:r>
      </w:hyperlink>
    </w:p>
    <w:p>
      <w:pPr>
        <w:pStyle w:val="Heading2"/>
        <w:keepNext/>
        <w:spacing w:before="80" w:after="20"/>
      </w:pPr>
      <w:r>
        <w:rPr>
          <w:rFonts w:ascii="Calibri" w:hAnsi="Calibri"/>
          <w:b/>
          <w:color w:val="0B2545"/>
          <w:sz w:val="21"/>
        </w:rPr>
        <w:t>IRS VITA and TCE</w:t>
      </w:r>
    </w:p>
    <w:p>
      <w:pPr>
        <w:spacing w:after="20" w:line="240" w:lineRule="auto"/>
      </w:pPr>
      <w:r>
        <w:rPr>
          <w:rFonts w:ascii="Calibri" w:hAnsi="Calibri"/>
          <w:color w:val="0B2545"/>
          <w:sz w:val="18"/>
        </w:rPr>
        <w:t>Free tax preparation for many qualifying taxpayers, including older adults through TCE.</w:t>
      </w:r>
    </w:p>
    <w:p>
      <w:pPr>
        <w:spacing w:after="40" w:line="240" w:lineRule="auto"/>
      </w:pPr>
      <w:r>
        <w:rPr>
          <w:rFonts w:ascii="Calibri" w:hAnsi="Calibri"/>
          <w:b/>
          <w:color w:val="5B6573"/>
          <w:sz w:val="17"/>
        </w:rPr>
        <w:t xml:space="preserve">800-906-9887  |  </w:t>
      </w:r>
      <w:hyperlink r:id="rId13">
        <w:r>
          <w:rPr>
            <w:rFonts w:ascii="Calibri" w:hAnsi="Calibri"/>
            <w:color w:val="2E74B5"/>
            <w:u w:val="single"/>
          </w:rPr>
          <w:t>https://www.irs.gov/individuals/free-tax-return-preparation-for-qualifying-taxpayers</w:t>
        </w:r>
      </w:hyperlink>
    </w:p>
    <w:p>
      <w:pPr>
        <w:pStyle w:val="Heading2"/>
        <w:keepNext/>
        <w:spacing w:before="80" w:after="20"/>
      </w:pPr>
      <w:r>
        <w:rPr>
          <w:rFonts w:ascii="Calibri" w:hAnsi="Calibri"/>
          <w:b/>
          <w:color w:val="0B2545"/>
          <w:sz w:val="21"/>
        </w:rPr>
        <w:t>HUD-approved housing counseling</w:t>
      </w:r>
    </w:p>
    <w:p>
      <w:pPr>
        <w:spacing w:after="20" w:line="240" w:lineRule="auto"/>
      </w:pPr>
      <w:r>
        <w:rPr>
          <w:rFonts w:ascii="Calibri" w:hAnsi="Calibri"/>
          <w:color w:val="0B2545"/>
          <w:sz w:val="18"/>
        </w:rPr>
        <w:t>Help with renting, buying, mortgage trouble, foreclosure, and reverse mortgages.</w:t>
      </w:r>
    </w:p>
    <w:p>
      <w:pPr>
        <w:spacing w:after="40" w:line="240" w:lineRule="auto"/>
      </w:pPr>
      <w:r>
        <w:rPr>
          <w:rFonts w:ascii="Calibri" w:hAnsi="Calibri"/>
          <w:b/>
          <w:color w:val="5B6573"/>
          <w:sz w:val="17"/>
        </w:rPr>
        <w:t xml:space="preserve">800-569-4287  |  </w:t>
      </w:r>
      <w:hyperlink r:id="rId14">
        <w:r>
          <w:rPr>
            <w:rFonts w:ascii="Calibri" w:hAnsi="Calibri"/>
            <w:color w:val="2E74B5"/>
            <w:u w:val="single"/>
          </w:rPr>
          <w:t>https://www.hud.gov/findacounselor</w:t>
        </w:r>
      </w:hyperlink>
    </w:p>
    <w:p>
      <w:pPr>
        <w:pStyle w:val="Heading2"/>
        <w:keepNext/>
        <w:spacing w:before="80" w:after="20"/>
      </w:pPr>
      <w:r>
        <w:rPr>
          <w:rFonts w:ascii="Calibri" w:hAnsi="Calibri"/>
          <w:b/>
          <w:color w:val="0B2545"/>
          <w:sz w:val="21"/>
        </w:rPr>
        <w:t>Legal Services Corporation</w:t>
      </w:r>
    </w:p>
    <w:p>
      <w:pPr>
        <w:spacing w:after="20" w:line="240" w:lineRule="auto"/>
      </w:pPr>
      <w:r>
        <w:rPr>
          <w:rFonts w:ascii="Calibri" w:hAnsi="Calibri"/>
          <w:color w:val="0B2545"/>
          <w:sz w:val="18"/>
        </w:rPr>
        <w:t>Find local civil legal aid for debt, housing, family, benefits, title, or heirs' property questions.</w:t>
      </w:r>
    </w:p>
    <w:p>
      <w:pPr>
        <w:spacing w:after="40" w:line="240" w:lineRule="auto"/>
      </w:pPr>
      <w:r>
        <w:rPr>
          <w:rFonts w:ascii="Calibri" w:hAnsi="Calibri"/>
          <w:b/>
          <w:color w:val="5B6573"/>
          <w:sz w:val="17"/>
        </w:rPr>
        <w:t xml:space="preserve">Search by city or address  |  </w:t>
      </w:r>
      <w:hyperlink r:id="rId15">
        <w:r>
          <w:rPr>
            <w:rFonts w:ascii="Calibri" w:hAnsi="Calibri"/>
            <w:color w:val="2E74B5"/>
            <w:u w:val="single"/>
          </w:rPr>
          <w:t>https://www.lsc.gov/about-lsc/what-legal-aid/i-need-legal-help</w:t>
        </w:r>
      </w:hyperlink>
    </w:p>
    <w:p>
      <w:pPr>
        <w:pStyle w:val="Heading2"/>
        <w:keepNext/>
        <w:spacing w:before="80" w:after="20"/>
      </w:pPr>
      <w:r>
        <w:rPr>
          <w:rFonts w:ascii="Calibri" w:hAnsi="Calibri"/>
          <w:b/>
          <w:color w:val="0B2545"/>
          <w:sz w:val="21"/>
        </w:rPr>
        <w:t>CFPB credit-counseling guide</w:t>
      </w:r>
    </w:p>
    <w:p>
      <w:pPr>
        <w:spacing w:after="20" w:line="240" w:lineRule="auto"/>
      </w:pPr>
      <w:r>
        <w:rPr>
          <w:rFonts w:ascii="Calibri" w:hAnsi="Calibri"/>
          <w:color w:val="0B2545"/>
          <w:sz w:val="18"/>
        </w:rPr>
        <w:t>How to identify reputable counseling and distinguish it from debt settlement or credit repair.</w:t>
      </w:r>
    </w:p>
    <w:p>
      <w:pPr>
        <w:spacing w:after="40" w:line="240" w:lineRule="auto"/>
      </w:pPr>
      <w:r>
        <w:rPr>
          <w:rFonts w:ascii="Calibri" w:hAnsi="Calibri"/>
          <w:b/>
          <w:color w:val="5B6573"/>
          <w:sz w:val="17"/>
        </w:rPr>
        <w:t xml:space="preserve">Read the questions to ask  |  </w:t>
      </w:r>
      <w:hyperlink r:id="rId16">
        <w:r>
          <w:rPr>
            <w:rFonts w:ascii="Calibri" w:hAnsi="Calibri"/>
            <w:color w:val="2E74B5"/>
            <w:u w:val="single"/>
          </w:rPr>
          <w:t>https://www.consumerfinance.gov/ask-cfpb/what-is-credit-counseling-en-1451/</w:t>
        </w:r>
      </w:hyperlink>
    </w:p>
    <w:p>
      <w:pPr>
        <w:pStyle w:val="Heading2"/>
        <w:keepNext/>
        <w:spacing w:before="80" w:after="20"/>
      </w:pPr>
      <w:r>
        <w:rPr>
          <w:rFonts w:ascii="Calibri" w:hAnsi="Calibri"/>
          <w:b/>
          <w:color w:val="0B2545"/>
          <w:sz w:val="21"/>
        </w:rPr>
        <w:t>FDIC BankFind</w:t>
      </w:r>
    </w:p>
    <w:p>
      <w:pPr>
        <w:spacing w:after="20" w:line="240" w:lineRule="auto"/>
      </w:pPr>
      <w:r>
        <w:rPr>
          <w:rFonts w:ascii="Calibri" w:hAnsi="Calibri"/>
          <w:color w:val="0B2545"/>
          <w:sz w:val="18"/>
        </w:rPr>
        <w:t>Check FDIC-insured banks and locate branches; compare fees and access before opening an account.</w:t>
      </w:r>
    </w:p>
    <w:p>
      <w:pPr>
        <w:spacing w:after="40" w:line="240" w:lineRule="auto"/>
      </w:pPr>
      <w:r>
        <w:rPr>
          <w:rFonts w:ascii="Calibri" w:hAnsi="Calibri"/>
          <w:b/>
          <w:color w:val="5B6573"/>
          <w:sz w:val="17"/>
        </w:rPr>
        <w:t xml:space="preserve">Search by name or location  |  </w:t>
      </w:r>
      <w:hyperlink r:id="rId17">
        <w:r>
          <w:rPr>
            <w:rFonts w:ascii="Calibri" w:hAnsi="Calibri"/>
            <w:color w:val="2E74B5"/>
            <w:u w:val="single"/>
          </w:rPr>
          <w:t>https://banks.data.fdic.gov/bankfind-suite/bankfind</w:t>
        </w:r>
      </w:hyperlink>
    </w:p>
    <w:p>
      <w:pPr>
        <w:pStyle w:val="Heading2"/>
        <w:keepNext/>
        <w:spacing w:before="80" w:after="20"/>
      </w:pPr>
      <w:r>
        <w:rPr>
          <w:rFonts w:ascii="Calibri" w:hAnsi="Calibri"/>
          <w:b/>
          <w:color w:val="0B2545"/>
          <w:sz w:val="21"/>
        </w:rPr>
        <w:t>NCUA Credit Union Locator</w:t>
      </w:r>
    </w:p>
    <w:p>
      <w:pPr>
        <w:spacing w:after="20" w:line="240" w:lineRule="auto"/>
      </w:pPr>
      <w:r>
        <w:rPr>
          <w:rFonts w:ascii="Calibri" w:hAnsi="Calibri"/>
          <w:color w:val="0B2545"/>
          <w:sz w:val="18"/>
        </w:rPr>
        <w:t>Locate credit unions and review services, membership, and federal insurance information.</w:t>
      </w:r>
    </w:p>
    <w:p>
      <w:pPr>
        <w:spacing w:after="40" w:line="240" w:lineRule="auto"/>
      </w:pPr>
      <w:r>
        <w:rPr>
          <w:rFonts w:ascii="Calibri" w:hAnsi="Calibri"/>
          <w:b/>
          <w:color w:val="5B6573"/>
          <w:sz w:val="17"/>
        </w:rPr>
        <w:t xml:space="preserve">Search by address or name  |  </w:t>
      </w:r>
      <w:hyperlink r:id="rId18">
        <w:r>
          <w:rPr>
            <w:rFonts w:ascii="Calibri" w:hAnsi="Calibri"/>
            <w:color w:val="2E74B5"/>
            <w:u w:val="single"/>
          </w:rPr>
          <w:t>https://mapping.ncua.gov/</w:t>
        </w:r>
      </w:hyperlink>
    </w:p>
    <w:p>
      <w:pPr>
        <w:pStyle w:val="Heading2"/>
        <w:keepNext/>
        <w:spacing w:before="80" w:after="20"/>
      </w:pPr>
      <w:r>
        <w:rPr>
          <w:rFonts w:ascii="Calibri" w:hAnsi="Calibri"/>
          <w:b/>
          <w:color w:val="0B2545"/>
          <w:sz w:val="21"/>
        </w:rPr>
        <w:t>State Health Insurance Assistance Program</w:t>
      </w:r>
    </w:p>
    <w:p>
      <w:pPr>
        <w:spacing w:after="20" w:line="240" w:lineRule="auto"/>
      </w:pPr>
      <w:r>
        <w:rPr>
          <w:rFonts w:ascii="Calibri" w:hAnsi="Calibri"/>
          <w:color w:val="0B2545"/>
          <w:sz w:val="18"/>
        </w:rPr>
        <w:t>Free, unbiased local help with Medicare enrollment, coverage, and costs.</w:t>
      </w:r>
    </w:p>
    <w:p>
      <w:pPr>
        <w:spacing w:after="40" w:line="240" w:lineRule="auto"/>
      </w:pPr>
      <w:r>
        <w:rPr>
          <w:rFonts w:ascii="Calibri" w:hAnsi="Calibri"/>
          <w:b/>
          <w:color w:val="5B6573"/>
          <w:sz w:val="17"/>
        </w:rPr>
        <w:t xml:space="preserve">877-839-2675  |  </w:t>
      </w:r>
      <w:hyperlink r:id="rId19">
        <w:r>
          <w:rPr>
            <w:rFonts w:ascii="Calibri" w:hAnsi="Calibri"/>
            <w:color w:val="2E74B5"/>
            <w:u w:val="single"/>
          </w:rPr>
          <w:t>https://www.shiphelp.org/</w:t>
        </w:r>
      </w:hyperlink>
    </w:p>
    <w:p>
      <w:pPr>
        <w:keepNext/>
        <w:pageBreakBefore/>
        <w:spacing w:before="0" w:after="60"/>
      </w:pPr>
      <w:r>
        <w:rPr>
          <w:rFonts w:ascii="Calibri" w:hAnsi="Calibri"/>
          <w:b/>
          <w:color w:val="7A5A00"/>
          <w:sz w:val="19"/>
        </w:rPr>
        <w:t>COURSE COMPLETION</w:t>
      </w:r>
    </w:p>
    <w:p>
      <w:pPr>
        <w:pStyle w:val="Heading1"/>
        <w:keepNext/>
      </w:pPr>
      <w:r>
        <w:t>Graduation Standard</w:t>
      </w:r>
    </w:p>
    <w:p>
      <w:pPr>
        <w:spacing w:before="0" w:after="120" w:line="300" w:lineRule="auto"/>
      </w:pPr>
      <w:r>
        <w:rPr>
          <w:rFonts w:ascii="Calibri" w:hAnsi="Calibri"/>
          <w:i w:val="0"/>
          <w:color w:val="0B2545"/>
          <w:sz w:val="22"/>
        </w:rPr>
        <w:t>Graduation is based on completed decisions and usable tools - not income, savings balance, debt payoff, homeownership, a credit score, or vocabulary recall.</w:t>
      </w:r>
    </w:p>
    <w:p>
      <w:pPr>
        <w:pStyle w:val="Heading2"/>
        <w:keepNext/>
      </w:pPr>
      <w:r>
        <w:t>Possible work tasks</w:t>
      </w:r>
    </w:p>
    <w:tbl>
      <w:tblPr>
        <w:tblW w:type="dxa" w:w="9360"/>
        <w:jc w:val="left"/>
        <w:tblLayout w:type="fixed"/>
        <w:tblLook w:firstColumn="1" w:firstRow="1" w:lastColumn="0" w:lastRow="0" w:noHBand="0" w:noVBand="1" w:val="04A0"/>
        <w:tblInd w:w="120" w:type="dxa"/>
        <w:tblBorders>
          <w:top w:val="single" w:sz="6" w:space="0" w:color="C9CED6"/>
          <w:left w:val="single" w:sz="6" w:space="0" w:color="C9CED6"/>
          <w:bottom w:val="single" w:sz="6" w:space="0" w:color="C9CED6"/>
          <w:right w:val="single" w:sz="6" w:space="0" w:color="C9CED6"/>
          <w:insideH w:val="single" w:sz="6" w:space="0" w:color="C9CED6"/>
          <w:insideV w:val="single" w:sz="6" w:space="0" w:color="C9CED6"/>
        </w:tblBorders>
      </w:tblPr>
      <w:tblGrid>
        <w:gridCol w:w="864"/>
        <w:gridCol w:w="8496"/>
      </w:tblGrid>
      <w:tr>
        <w:trPr>
          <w:tblHeader w:val="true"/>
          <w:cantSplit/>
        </w:trPr>
        <w:tc>
          <w:tcPr>
            <w:tcW w:type="dxa" w:w="864"/>
            <w:shd w:fill="E8EEF5"/>
            <w:tcMar>
              <w:top w:w="80" w:type="dxa"/>
              <w:start w:w="120" w:type="dxa"/>
              <w:bottom w:w="80" w:type="dxa"/>
              <w:end w:w="120" w:type="dxa"/>
            </w:tcMar>
            <w:vAlign w:val="center"/>
          </w:tcPr>
          <w:p>
            <w:pPr>
              <w:jc w:val="center"/>
            </w:pPr>
            <w:r>
              <w:rPr>
                <w:rFonts w:ascii="Calibri" w:hAnsi="Calibri"/>
                <w:b/>
                <w:color w:val="0B2545"/>
                <w:sz w:val="20"/>
              </w:rPr>
              <w:t>Done</w:t>
            </w:r>
          </w:p>
        </w:tc>
        <w:tc>
          <w:tcPr>
            <w:tcW w:type="dxa" w:w="8496"/>
            <w:shd w:fill="E8EEF5"/>
            <w:tcMar>
              <w:top w:w="80" w:type="dxa"/>
              <w:start w:w="120" w:type="dxa"/>
              <w:bottom w:w="80" w:type="dxa"/>
              <w:end w:w="120" w:type="dxa"/>
            </w:tcMar>
            <w:vAlign w:val="center"/>
          </w:tcPr>
          <w:p>
            <w:pPr>
              <w:jc w:val="left"/>
            </w:pPr>
            <w:r>
              <w:rPr>
                <w:rFonts w:ascii="Calibri" w:hAnsi="Calibri"/>
                <w:b/>
                <w:color w:val="0B2545"/>
                <w:sz w:val="20"/>
              </w:rPr>
              <w:t>Action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Starting-Line Snapshot</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Monthly Essential-Cost Total and dependable take-home amount</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30-day Cash-Flow Calendar and Paycheck Allocation Plan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Planned Fun Money rule</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Emergency-savings and Planned-Expense Reserve plan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Debt and credit action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Transportation and housing limits</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Money Agreement or Family Boundary Plan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Protection action</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Retirement action or dated prerequisite</w:t>
            </w:r>
          </w:p>
        </w:tc>
      </w:tr>
      <w:tr>
        <w:trPr>
          <w:cantSplit/>
        </w:trPr>
        <w:tc>
          <w:tcPr>
            <w:tcW w:type="dxa" w:w="864"/>
            <w:tcMar>
              <w:top w:w="80" w:type="dxa"/>
              <w:start w:w="120" w:type="dxa"/>
              <w:bottom w:w="80" w:type="dxa"/>
              <w:end w:w="120" w:type="dxa"/>
            </w:tcMar>
            <w:vAlign w:val="center"/>
          </w:tcPr>
          <w:p>
            <w:pPr>
              <w:spacing w:after="40" w:line="276" w:lineRule="auto"/>
              <w:jc w:val="center"/>
            </w:pPr>
            <w:r>
              <w:rPr>
                <w:rFonts w:ascii="Calibri" w:hAnsi="Calibri"/>
                <w:color w:val="0B2545"/>
                <w:sz w:val="21"/>
              </w:rPr>
            </w:r>
          </w:p>
        </w:tc>
        <w:tc>
          <w:tcPr>
            <w:tcW w:type="dxa" w:w="8496"/>
            <w:tcMar>
              <w:top w:w="80" w:type="dxa"/>
              <w:start w:w="120" w:type="dxa"/>
              <w:bottom w:w="80" w:type="dxa"/>
              <w:end w:w="120" w:type="dxa"/>
            </w:tcMar>
            <w:vAlign w:val="center"/>
          </w:tcPr>
          <w:p>
            <w:pPr>
              <w:spacing w:after="40" w:line="276" w:lineRule="auto"/>
            </w:pPr>
            <w:r>
              <w:rPr>
                <w:rFonts w:ascii="Calibri" w:hAnsi="Calibri"/>
                <w:color w:val="0B2545"/>
                <w:sz w:val="21"/>
              </w:rPr>
              <w:t>30 / 90 / 365 Action Plan with a five-year asset or transfer goal</w:t>
            </w:r>
          </w:p>
        </w:tc>
      </w:tr>
    </w:tbl>
    <w:p>
      <w:pPr>
        <w:spacing w:after="0"/>
      </w:pP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FINAL STANDARD  </w:t>
            </w:r>
            <w:r>
              <w:rPr>
                <w:rFonts w:ascii="Calibri" w:hAnsi="Calibri"/>
                <w:b/>
                <w:color w:val="0B2545"/>
                <w:sz w:val="22"/>
              </w:rPr>
              <w:t>The participant can explain how the next available money will be assigned and can restart the system after a setback.</w:t>
            </w:r>
          </w:p>
        </w:tc>
      </w:tr>
    </w:tbl>
    <w:p>
      <w:pPr>
        <w:spacing w:after="0"/>
      </w:pPr>
    </w:p>
    <w:p>
      <w:pPr>
        <w:keepNext/>
        <w:pageBreakBefore/>
        <w:spacing w:before="0" w:after="60"/>
      </w:pPr>
      <w:r>
        <w:rPr>
          <w:rFonts w:ascii="Calibri" w:hAnsi="Calibri"/>
          <w:b/>
          <w:color w:val="7A5A00"/>
          <w:sz w:val="19"/>
        </w:rPr>
        <w:t>FACILITATOR REFERENCE</w:t>
      </w:r>
    </w:p>
    <w:p>
      <w:pPr>
        <w:pStyle w:val="Heading1"/>
        <w:keepNext/>
      </w:pPr>
      <w:r>
        <w:t>Model Answers for Common Scenarios</w:t>
      </w:r>
    </w:p>
    <w:p>
      <w:pPr>
        <w:pStyle w:val="Heading2"/>
        <w:keepNext/>
        <w:spacing w:before="140" w:after="40"/>
      </w:pPr>
      <w:r>
        <w:rPr>
          <w:rFonts w:ascii="Calibri" w:hAnsi="Calibri"/>
          <w:b/>
          <w:color w:val="0B2545"/>
          <w:sz w:val="22"/>
        </w:rPr>
        <w:t>Planned Fun Money has $145 and the headphones cost $180.</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Wait until the balance reaches $180, choose a lower-cost option, or earn more. Charging the remaining $35 is not an option.</w:t>
      </w:r>
    </w:p>
    <w:p>
      <w:pPr>
        <w:pStyle w:val="Heading2"/>
        <w:keepNext/>
        <w:spacing w:before="140" w:after="40"/>
      </w:pPr>
      <w:r>
        <w:rPr>
          <w:rFonts w:ascii="Calibri" w:hAnsi="Calibri"/>
          <w:b/>
          <w:color w:val="0B2545"/>
          <w:sz w:val="22"/>
        </w:rPr>
        <w:t>A $1,400 repair is needed on a safe paid-for vehicle; a dealer offers $540 a month for 72 months.</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Obtain an independent condition assessment. If the existing vehicle is structurally sound, the repair may be far less costly than years of payments plus higher insurance.</w:t>
      </w:r>
    </w:p>
    <w:p>
      <w:pPr>
        <w:pStyle w:val="Heading2"/>
        <w:keepNext/>
        <w:spacing w:before="140" w:after="40"/>
      </w:pPr>
      <w:r>
        <w:rPr>
          <w:rFonts w:ascii="Calibri" w:hAnsi="Calibri"/>
          <w:b/>
          <w:color w:val="0B2545"/>
          <w:sz w:val="22"/>
        </w:rPr>
        <w:t>A couple wants a house in one year but would drain savings and keep high-rate card debt.</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Change the calendar goal. Build cash, address expensive debt, and calculate complete ownership cost before setting a purchase date.</w:t>
      </w:r>
    </w:p>
    <w:p>
      <w:pPr>
        <w:pStyle w:val="Heading2"/>
        <w:keepNext/>
        <w:spacing w:before="140" w:after="40"/>
      </w:pPr>
      <w:r>
        <w:rPr>
          <w:rFonts w:ascii="Calibri" w:hAnsi="Calibri"/>
          <w:b/>
          <w:color w:val="0B2545"/>
          <w:sz w:val="22"/>
        </w:rPr>
        <w:t>A participant has no monthly surplus.</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Protect the Monthly Essential-Cost Total, stop new discretionary debt, prevent high-consequence losses, contact creditors early, investigate benefits and income, and take no-cost protection actions.</w:t>
      </w:r>
    </w:p>
    <w:p>
      <w:pPr>
        <w:pStyle w:val="Heading2"/>
        <w:keepNext/>
        <w:spacing w:before="140" w:after="40"/>
      </w:pPr>
      <w:r>
        <w:rPr>
          <w:rFonts w:ascii="Calibri" w:hAnsi="Calibri"/>
          <w:b/>
          <w:color w:val="0B2545"/>
          <w:sz w:val="22"/>
        </w:rPr>
        <w:t>A 50-year-old has little retirement savings.</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Starting late requires honesty and several levers: control large fixed costs, eliminate lifestyle debt, capture available match, raise contributions over time, review Social Security, improve income where realistic, and test more than one future work age.</w:t>
      </w:r>
    </w:p>
    <w:p>
      <w:pPr>
        <w:pStyle w:val="Heading2"/>
        <w:keepNext/>
        <w:spacing w:before="140" w:after="40"/>
      </w:pPr>
      <w:r>
        <w:rPr>
          <w:rFonts w:ascii="Calibri" w:hAnsi="Calibri"/>
          <w:b/>
          <w:color w:val="0B2545"/>
          <w:sz w:val="22"/>
        </w:rPr>
        <w:t>Someone says rewards make a credit-card splurge worthwhile.</w:t>
      </w:r>
    </w:p>
    <w:p>
      <w:pPr>
        <w:spacing w:before="0" w:after="120" w:line="300" w:lineRule="auto"/>
      </w:pPr>
      <w:r>
        <w:rPr>
          <w:rFonts w:ascii="Calibri" w:hAnsi="Calibri"/>
          <w:b/>
          <w:color w:val="0B2545"/>
          <w:sz w:val="22"/>
        </w:rPr>
        <w:t xml:space="preserve">Model answer: </w:t>
      </w:r>
      <w:r>
        <w:rPr>
          <w:rFonts w:ascii="Calibri" w:hAnsi="Calibri"/>
          <w:i w:val="0"/>
          <w:color w:val="0B2545"/>
          <w:sz w:val="22"/>
        </w:rPr>
        <w:t>Rewards do not change the course rule. A splurge is purchased from Planned Fun Money using cash or debit.</w:t>
      </w:r>
    </w:p>
    <w:p>
      <w:pPr>
        <w:keepNext/>
        <w:pageBreakBefore/>
        <w:spacing w:before="0" w:after="60"/>
      </w:pPr>
      <w:r>
        <w:rPr>
          <w:rFonts w:ascii="Calibri" w:hAnsi="Calibri"/>
          <w:b/>
          <w:color w:val="7A5A00"/>
          <w:sz w:val="19"/>
        </w:rPr>
        <w:t>INDEPENDENT DEVELOPMENT AND PERMITTED USE</w:t>
      </w:r>
    </w:p>
    <w:p>
      <w:pPr>
        <w:pStyle w:val="Heading1"/>
        <w:keepNext/>
      </w:pPr>
      <w:r>
        <w:t>Originality, Copyright, and Community Printing</w:t>
      </w:r>
    </w:p>
    <w:p>
      <w:pPr>
        <w:spacing w:before="0" w:after="120" w:line="300" w:lineRule="auto"/>
      </w:pPr>
      <w:r>
        <w:rPr>
          <w:rFonts w:ascii="Calibri" w:hAnsi="Calibri"/>
          <w:i w:val="0"/>
          <w:color w:val="0B2545"/>
          <w:sz w:val="22"/>
        </w:rPr>
        <w:t>Independently developed for secular, nonpartisan community financial education. Common personal-finance concepts are explained in original language. Sources are provided for factual verification; no third-party curriculum, worksheet, logo, or artwork is reproduced. This course is not sponsored by, affiliated with, or endorsed by any financial-education provider.</w:t>
      </w:r>
    </w:p>
    <w:p>
      <w:pPr>
        <w:spacing w:before="0" w:after="120" w:line="300" w:lineRule="auto"/>
      </w:pPr>
      <w:r>
        <w:rPr>
          <w:rFonts w:ascii="Calibri" w:hAnsi="Calibri"/>
          <w:i w:val="0"/>
          <w:color w:val="0B2545"/>
          <w:sz w:val="22"/>
        </w:rPr>
        <w:t>Its fictional households, four-path teaching structure, exercises, examples, and session sequence were created for this workbook. Competing programs were reviewed only to identify avoidable similarities in names, wording, and structure.</w:t>
      </w:r>
    </w:p>
    <w:tbl>
      <w:tblPr>
        <w:tblW w:type="dxa" w:w="9360"/>
        <w:jc w:val="left"/>
        <w:tblLayout w:type="fixed"/>
        <w:tblLook w:firstColumn="1" w:firstRow="1" w:lastColumn="0" w:lastRow="0" w:noHBand="0" w:noVBand="1" w:val="04A0"/>
        <w:tblInd w:w="120" w:type="dxa"/>
        <w:tblBorders>
          <w:top w:val="single" w:sz="6" w:space="0" w:color="D5DAE1"/>
          <w:left w:val="single" w:sz="6" w:space="0" w:color="D5DAE1"/>
          <w:bottom w:val="single" w:sz="6" w:space="0" w:color="D5DAE1"/>
          <w:right w:val="single" w:sz="6" w:space="0" w:color="D5DAE1"/>
          <w:insideH w:val="single" w:sz="6" w:space="0" w:color="D5DAE1"/>
          <w:insideV w:val="single" w:sz="6" w:space="0" w:color="D5DAE1"/>
        </w:tblBorders>
      </w:tblPr>
      <w:tblGrid>
        <w:gridCol w:w="9360"/>
      </w:tblGrid>
      <w:tr>
        <w:trPr>
          <w:cantSplit/>
        </w:trPr>
        <w:tc>
          <w:tcPr>
            <w:tcW w:type="dxa" w:w="9360"/>
            <w:tcMar>
              <w:top w:w="80" w:type="dxa"/>
              <w:start w:w="120" w:type="dxa"/>
              <w:bottom w:w="80" w:type="dxa"/>
              <w:end w:w="120" w:type="dxa"/>
            </w:tcMar>
            <w:vAlign w:val="center"/>
            <w:shd w:fill="FFF8E8"/>
          </w:tcPr>
          <w:p>
            <w:pPr>
              <w:spacing w:before="40" w:after="40" w:line="288" w:lineRule="auto"/>
            </w:pPr>
            <w:r>
              <w:rPr>
                <w:rFonts w:ascii="Calibri" w:hAnsi="Calibri"/>
                <w:b/>
                <w:color w:val="7A5A00"/>
                <w:sz w:val="19"/>
              </w:rPr>
              <w:t xml:space="preserve">COPYRIGHT  </w:t>
            </w:r>
            <w:r>
              <w:rPr>
                <w:rFonts w:ascii="Calibri" w:hAnsi="Calibri"/>
                <w:b/>
                <w:color w:val="0B2545"/>
                <w:sz w:val="22"/>
              </w:rPr>
              <w:t>© 2026 Brent Roberson. This workbook’s original selection, arrangement, explanations, exercises, and presentation are owned by Brent Roberson to the extent provided by law. All rights are reserved except for the limited permission below.</w:t>
            </w:r>
          </w:p>
        </w:tc>
      </w:tr>
    </w:tbl>
    <w:p>
      <w:pPr>
        <w:spacing w:after="0"/>
      </w:pPr>
    </w:p>
    <w:p>
      <w:pPr>
        <w:pStyle w:val="Heading2"/>
        <w:keepNext/>
      </w:pPr>
      <w:r>
        <w:t>Permission to print and share</w:t>
      </w:r>
    </w:p>
    <w:p>
      <w:pPr>
        <w:spacing w:before="0" w:after="120" w:line="300" w:lineRule="auto"/>
      </w:pPr>
      <w:r>
        <w:rPr>
          <w:rFonts w:ascii="Calibri" w:hAnsi="Calibri"/>
          <w:i w:val="0"/>
          <w:color w:val="0B2545"/>
          <w:sz w:val="22"/>
        </w:rPr>
        <w:t>Permission is granted to download, print, and share complete, unmodified copies for personal use and noncommercial community education. This permission does not allow sale, paid distribution, commercial training, modification, excerpting or republication, rebranding, removal of this notice, or implied endorsement. All other copying or sharing requires prior written permission.</w:t>
      </w:r>
    </w:p>
    <w:p>
      <w:pPr>
        <w:pStyle w:val="Heading2"/>
        <w:keepNext/>
      </w:pPr>
      <w:r>
        <w:t>What this review can and cannot establish</w:t>
      </w:r>
    </w:p>
    <w:p>
      <w:pPr>
        <w:spacing w:before="0" w:after="120" w:line="300" w:lineRule="auto"/>
      </w:pPr>
      <w:r>
        <w:rPr>
          <w:rFonts w:ascii="Calibri" w:hAnsi="Calibri"/>
          <w:i w:val="0"/>
          <w:color w:val="5B6573"/>
          <w:sz w:val="22"/>
        </w:rPr>
        <w:t>A good-faith originality and web naming review reduces avoidable risk but cannot guarantee that no person will ever make a claim. A qualified intellectual-property attorney should conduct formal trademark clearance before the course name is registered, licensed, or used for a commercial national product.</w:t>
      </w:r>
    </w:p>
    <w:p>
      <w:pPr>
        <w:keepNext/>
        <w:pageBreakBefore/>
        <w:spacing w:before="0" w:after="60"/>
      </w:pPr>
      <w:r>
        <w:rPr>
          <w:rFonts w:ascii="Calibri" w:hAnsi="Calibri"/>
          <w:b/>
          <w:color w:val="7A5A00"/>
          <w:sz w:val="19"/>
        </w:rPr>
        <w:t>OFFICIAL REFERENCES</w:t>
      </w:r>
    </w:p>
    <w:p>
      <w:pPr>
        <w:pStyle w:val="Heading1"/>
        <w:keepNext/>
      </w:pPr>
      <w:r>
        <w:t>Sources and Annual Update Guide</w:t>
      </w:r>
    </w:p>
    <w:p>
      <w:pPr>
        <w:spacing w:before="0" w:after="120" w:line="300" w:lineRule="auto"/>
      </w:pPr>
      <w:r>
        <w:rPr>
          <w:rFonts w:ascii="Calibri" w:hAnsi="Calibri"/>
          <w:i w:val="0"/>
          <w:color w:val="0B2545"/>
          <w:sz w:val="22"/>
        </w:rPr>
        <w:t>Use these official U.S. resources for current rules and consumer guidance. Course principles are intentionally written without hard-coded annual limits where those limits change.</w:t>
      </w:r>
    </w:p>
    <w:p>
      <w:pPr>
        <w:spacing w:after="100" w:line="276" w:lineRule="auto"/>
        <w:ind w:left="259" w:hanging="259"/>
      </w:pPr>
      <w:r>
        <w:rPr>
          <w:rFonts w:ascii="Calibri" w:hAnsi="Calibri"/>
          <w:color w:val="0B2545"/>
          <w:sz w:val="20"/>
        </w:rPr>
        <w:t xml:space="preserve">• </w:t>
      </w:r>
      <w:hyperlink r:id="rId20">
        <w:r>
          <w:rPr>
            <w:rFonts w:ascii="Calibri" w:hAnsi="Calibri"/>
            <w:color w:val="2E74B5"/>
            <w:u w:val="single"/>
          </w:rPr>
          <w:t>Consumer Financial Protection Bureau - Your Money, Your Goals toolkit</w:t>
        </w:r>
      </w:hyperlink>
      <w:r>
        <w:rPr>
          <w:rFonts w:ascii="Calibri" w:hAnsi="Calibri"/>
          <w:color w:val="5B6573"/>
          <w:sz w:val="17"/>
        </w:rPr>
        <w:br/>
        <w:t xml:space="preserve">  https://www.consumerfinance.gov/consumer-tools/educator-tools/your-money-your-goals/toolkit/</w:t>
      </w:r>
    </w:p>
    <w:p>
      <w:pPr>
        <w:spacing w:after="100" w:line="276" w:lineRule="auto"/>
        <w:ind w:left="259" w:hanging="259"/>
      </w:pPr>
      <w:r>
        <w:rPr>
          <w:rFonts w:ascii="Calibri" w:hAnsi="Calibri"/>
          <w:color w:val="0B2545"/>
          <w:sz w:val="20"/>
        </w:rPr>
        <w:t xml:space="preserve">• </w:t>
      </w:r>
      <w:hyperlink r:id="rId21">
        <w:r>
          <w:rPr>
            <w:rFonts w:ascii="Calibri" w:hAnsi="Calibri"/>
            <w:color w:val="2E74B5"/>
            <w:u w:val="single"/>
          </w:rPr>
          <w:t>CFPB - Guide to building an emergency fund</w:t>
        </w:r>
      </w:hyperlink>
      <w:r>
        <w:rPr>
          <w:rFonts w:ascii="Calibri" w:hAnsi="Calibri"/>
          <w:color w:val="5B6573"/>
          <w:sz w:val="17"/>
        </w:rPr>
        <w:br/>
        <w:t xml:space="preserve">  https://www.consumerfinance.gov/an-essential-guide-to-building-an-emergency-fund/</w:t>
      </w:r>
    </w:p>
    <w:p>
      <w:pPr>
        <w:spacing w:after="100" w:line="276" w:lineRule="auto"/>
        <w:ind w:left="259" w:hanging="259"/>
      </w:pPr>
      <w:r>
        <w:rPr>
          <w:rFonts w:ascii="Calibri" w:hAnsi="Calibri"/>
          <w:color w:val="0B2545"/>
          <w:sz w:val="20"/>
        </w:rPr>
        <w:t xml:space="preserve">• </w:t>
      </w:r>
      <w:hyperlink r:id="rId22">
        <w:r>
          <w:rPr>
            <w:rFonts w:ascii="Calibri" w:hAnsi="Calibri"/>
            <w:color w:val="2E74B5"/>
            <w:u w:val="single"/>
          </w:rPr>
          <w:t>CFPB - Credit reports and scores</w:t>
        </w:r>
      </w:hyperlink>
      <w:r>
        <w:rPr>
          <w:rFonts w:ascii="Calibri" w:hAnsi="Calibri"/>
          <w:color w:val="5B6573"/>
          <w:sz w:val="17"/>
        </w:rPr>
        <w:br/>
        <w:t xml:space="preserve">  https://www.consumerfinance.gov/consumer-tools/credit-reports-and-scores/</w:t>
      </w:r>
    </w:p>
    <w:p>
      <w:pPr>
        <w:spacing w:after="100" w:line="276" w:lineRule="auto"/>
        <w:ind w:left="259" w:hanging="259"/>
      </w:pPr>
      <w:r>
        <w:rPr>
          <w:rFonts w:ascii="Calibri" w:hAnsi="Calibri"/>
          <w:color w:val="0B2545"/>
          <w:sz w:val="20"/>
        </w:rPr>
        <w:t xml:space="preserve">• </w:t>
      </w:r>
      <w:hyperlink r:id="rId23">
        <w:r>
          <w:rPr>
            <w:rFonts w:ascii="Calibri" w:hAnsi="Calibri"/>
            <w:color w:val="2E74B5"/>
            <w:u w:val="single"/>
          </w:rPr>
          <w:t>AnnualCreditReport.com - federally authorized credit-report source</w:t>
        </w:r>
      </w:hyperlink>
      <w:r>
        <w:rPr>
          <w:rFonts w:ascii="Calibri" w:hAnsi="Calibri"/>
          <w:color w:val="5B6573"/>
          <w:sz w:val="17"/>
        </w:rPr>
        <w:br/>
        <w:t xml:space="preserve">  https://www.annualcreditreport.com/</w:t>
      </w:r>
    </w:p>
    <w:p>
      <w:pPr>
        <w:spacing w:after="100" w:line="276" w:lineRule="auto"/>
        <w:ind w:left="259" w:hanging="259"/>
      </w:pPr>
      <w:r>
        <w:rPr>
          <w:rFonts w:ascii="Calibri" w:hAnsi="Calibri"/>
          <w:color w:val="0B2545"/>
          <w:sz w:val="20"/>
        </w:rPr>
        <w:t xml:space="preserve">• </w:t>
      </w:r>
      <w:hyperlink r:id="rId24">
        <w:r>
          <w:rPr>
            <w:rFonts w:ascii="Calibri" w:hAnsi="Calibri"/>
            <w:color w:val="2E74B5"/>
            <w:u w:val="single"/>
          </w:rPr>
          <w:t>CFPB - Comparing auto loans beyond the payment</w:t>
        </w:r>
      </w:hyperlink>
      <w:r>
        <w:rPr>
          <w:rFonts w:ascii="Calibri" w:hAnsi="Calibri"/>
          <w:color w:val="5B6573"/>
          <w:sz w:val="17"/>
        </w:rPr>
        <w:br/>
        <w:t xml:space="preserve">  https://www.consumerfinance.gov/ask-cfpb/how-do-i-compare-auto-loan-offers-what-should-i-look-at-besides-the-monthly-payment-en-753/</w:t>
      </w:r>
    </w:p>
    <w:p>
      <w:pPr>
        <w:spacing w:after="100" w:line="276" w:lineRule="auto"/>
        <w:ind w:left="259" w:hanging="259"/>
      </w:pPr>
      <w:r>
        <w:rPr>
          <w:rFonts w:ascii="Calibri" w:hAnsi="Calibri"/>
          <w:color w:val="0B2545"/>
          <w:sz w:val="20"/>
        </w:rPr>
        <w:t xml:space="preserve">• </w:t>
      </w:r>
      <w:hyperlink r:id="rId25">
        <w:r>
          <w:rPr>
            <w:rFonts w:ascii="Calibri" w:hAnsi="Calibri"/>
            <w:color w:val="2E74B5"/>
            <w:u w:val="single"/>
          </w:rPr>
          <w:t>Federal Trade Commission - How to get out of debt and avoid relief scams</w:t>
        </w:r>
      </w:hyperlink>
      <w:r>
        <w:rPr>
          <w:rFonts w:ascii="Calibri" w:hAnsi="Calibri"/>
          <w:color w:val="5B6573"/>
          <w:sz w:val="17"/>
        </w:rPr>
        <w:br/>
        <w:t xml:space="preserve">  https://consumer.ftc.gov/articles/how-get-out-debt</w:t>
      </w:r>
    </w:p>
    <w:p>
      <w:pPr>
        <w:spacing w:after="100" w:line="276" w:lineRule="auto"/>
        <w:ind w:left="259" w:hanging="259"/>
      </w:pPr>
      <w:r>
        <w:rPr>
          <w:rFonts w:ascii="Calibri" w:hAnsi="Calibri"/>
          <w:color w:val="0B2545"/>
          <w:sz w:val="20"/>
        </w:rPr>
        <w:t xml:space="preserve">• </w:t>
      </w:r>
      <w:hyperlink r:id="rId26">
        <w:r>
          <w:rPr>
            <w:rFonts w:ascii="Calibri" w:hAnsi="Calibri"/>
            <w:color w:val="2E74B5"/>
            <w:u w:val="single"/>
          </w:rPr>
          <w:t>Federal Trade Commission - Credit freezes and fraud alerts</w:t>
        </w:r>
      </w:hyperlink>
      <w:r>
        <w:rPr>
          <w:rFonts w:ascii="Calibri" w:hAnsi="Calibri"/>
          <w:color w:val="5B6573"/>
          <w:sz w:val="17"/>
        </w:rPr>
        <w:br/>
        <w:t xml:space="preserve">  https://consumer.ftc.gov/articles/credit-freezes-and-fraud-alerts</w:t>
      </w:r>
    </w:p>
    <w:p>
      <w:pPr>
        <w:spacing w:after="100" w:line="276" w:lineRule="auto"/>
        <w:ind w:left="259" w:hanging="259"/>
      </w:pPr>
      <w:r>
        <w:rPr>
          <w:rFonts w:ascii="Calibri" w:hAnsi="Calibri"/>
          <w:color w:val="0B2545"/>
          <w:sz w:val="20"/>
        </w:rPr>
        <w:t xml:space="preserve">• </w:t>
      </w:r>
      <w:hyperlink r:id="rId27">
        <w:r>
          <w:rPr>
            <w:rFonts w:ascii="Calibri" w:hAnsi="Calibri"/>
            <w:color w:val="2E74B5"/>
            <w:u w:val="single"/>
          </w:rPr>
          <w:t>FDIC - Money Smart for Adults</w:t>
        </w:r>
      </w:hyperlink>
      <w:r>
        <w:rPr>
          <w:rFonts w:ascii="Calibri" w:hAnsi="Calibri"/>
          <w:color w:val="5B6573"/>
          <w:sz w:val="17"/>
        </w:rPr>
        <w:br/>
        <w:t xml:space="preserve">  https://www.fdic.gov/consumer-resource-center/money-smart-adults</w:t>
      </w:r>
    </w:p>
    <w:p>
      <w:pPr>
        <w:spacing w:after="100" w:line="276" w:lineRule="auto"/>
        <w:ind w:left="259" w:hanging="259"/>
      </w:pPr>
      <w:r>
        <w:rPr>
          <w:rFonts w:ascii="Calibri" w:hAnsi="Calibri"/>
          <w:color w:val="0B2545"/>
          <w:sz w:val="20"/>
        </w:rPr>
        <w:t xml:space="preserve">• </w:t>
      </w:r>
      <w:hyperlink r:id="rId28">
        <w:r>
          <w:rPr>
            <w:rFonts w:ascii="Calibri" w:hAnsi="Calibri"/>
            <w:color w:val="2E74B5"/>
            <w:u w:val="single"/>
          </w:rPr>
          <w:t>FDIC - Saving for the unexpected and your future</w:t>
        </w:r>
      </w:hyperlink>
      <w:r>
        <w:rPr>
          <w:rFonts w:ascii="Calibri" w:hAnsi="Calibri"/>
          <w:color w:val="5B6573"/>
          <w:sz w:val="17"/>
        </w:rPr>
        <w:br/>
        <w:t xml:space="preserve">  https://www.fdic.gov/consumer-resource-center/2025-01/saving-unexpected-and-your-future</w:t>
      </w:r>
    </w:p>
    <w:p>
      <w:pPr>
        <w:spacing w:after="100" w:line="276" w:lineRule="auto"/>
        <w:ind w:left="259" w:hanging="259"/>
      </w:pPr>
      <w:r>
        <w:rPr>
          <w:rFonts w:ascii="Calibri" w:hAnsi="Calibri"/>
          <w:color w:val="0B2545"/>
          <w:sz w:val="20"/>
        </w:rPr>
        <w:t xml:space="preserve">• </w:t>
      </w:r>
      <w:hyperlink r:id="rId29">
        <w:r>
          <w:rPr>
            <w:rFonts w:ascii="Calibri" w:hAnsi="Calibri"/>
            <w:color w:val="2E74B5"/>
            <w:u w:val="single"/>
          </w:rPr>
          <w:t>Investor.gov - Introduction to investing</w:t>
        </w:r>
      </w:hyperlink>
      <w:r>
        <w:rPr>
          <w:rFonts w:ascii="Calibri" w:hAnsi="Calibri"/>
          <w:color w:val="5B6573"/>
          <w:sz w:val="17"/>
        </w:rPr>
        <w:br/>
        <w:t xml:space="preserve">  https://www.investor.gov/introduction-investing</w:t>
      </w:r>
    </w:p>
    <w:p>
      <w:pPr>
        <w:spacing w:after="100" w:line="276" w:lineRule="auto"/>
        <w:ind w:left="259" w:hanging="259"/>
      </w:pPr>
      <w:r>
        <w:rPr>
          <w:rFonts w:ascii="Calibri" w:hAnsi="Calibri"/>
          <w:color w:val="0B2545"/>
          <w:sz w:val="20"/>
        </w:rPr>
        <w:t xml:space="preserve">• </w:t>
      </w:r>
      <w:hyperlink r:id="rId30">
        <w:r>
          <w:rPr>
            <w:rFonts w:ascii="Calibri" w:hAnsi="Calibri"/>
            <w:color w:val="2E74B5"/>
            <w:u w:val="single"/>
          </w:rPr>
          <w:t>Investor.gov - Diversification</w:t>
        </w:r>
      </w:hyperlink>
      <w:r>
        <w:rPr>
          <w:rFonts w:ascii="Calibri" w:hAnsi="Calibri"/>
          <w:color w:val="5B6573"/>
          <w:sz w:val="17"/>
        </w:rPr>
        <w:br/>
        <w:t xml:space="preserve">  https://www.investor.gov/introduction-investing/investing-basics/glossary/diversification</w:t>
      </w:r>
    </w:p>
    <w:p>
      <w:pPr>
        <w:spacing w:after="100" w:line="276" w:lineRule="auto"/>
        <w:ind w:left="259" w:hanging="259"/>
      </w:pPr>
      <w:r>
        <w:rPr>
          <w:rFonts w:ascii="Calibri" w:hAnsi="Calibri"/>
          <w:color w:val="0B2545"/>
          <w:sz w:val="20"/>
        </w:rPr>
        <w:t xml:space="preserve">• </w:t>
      </w:r>
      <w:hyperlink r:id="rId31">
        <w:r>
          <w:rPr>
            <w:rFonts w:ascii="Calibri" w:hAnsi="Calibri"/>
            <w:color w:val="2E74B5"/>
            <w:u w:val="single"/>
          </w:rPr>
          <w:t>Investor.gov - Understanding fees</w:t>
        </w:r>
      </w:hyperlink>
      <w:r>
        <w:rPr>
          <w:rFonts w:ascii="Calibri" w:hAnsi="Calibri"/>
          <w:color w:val="5B6573"/>
          <w:sz w:val="17"/>
        </w:rPr>
        <w:br/>
        <w:t xml:space="preserve">  https://www.investor.gov/introduction-investing/getting-started/understanding-fees</w:t>
      </w:r>
    </w:p>
    <w:p>
      <w:pPr>
        <w:spacing w:after="100" w:line="276" w:lineRule="auto"/>
        <w:ind w:left="259" w:hanging="259"/>
      </w:pPr>
      <w:r>
        <w:rPr>
          <w:rFonts w:ascii="Calibri" w:hAnsi="Calibri"/>
          <w:color w:val="0B2545"/>
          <w:sz w:val="20"/>
        </w:rPr>
        <w:t xml:space="preserve">• </w:t>
      </w:r>
      <w:hyperlink r:id="rId32">
        <w:r>
          <w:rPr>
            <w:rFonts w:ascii="Calibri" w:hAnsi="Calibri"/>
            <w:color w:val="2E74B5"/>
            <w:u w:val="single"/>
          </w:rPr>
          <w:t>U.S. Department of Labor - Preparing for retirement</w:t>
        </w:r>
      </w:hyperlink>
      <w:r>
        <w:rPr>
          <w:rFonts w:ascii="Calibri" w:hAnsi="Calibri"/>
          <w:color w:val="5B6573"/>
          <w:sz w:val="17"/>
        </w:rPr>
        <w:br/>
        <w:t xml:space="preserve">  https://www.dol.gov/agencies/ebsa/workers-and-families/preparing-for-retirement</w:t>
      </w:r>
    </w:p>
    <w:p>
      <w:pPr>
        <w:spacing w:after="100" w:line="276" w:lineRule="auto"/>
        <w:ind w:left="259" w:hanging="259"/>
      </w:pPr>
      <w:r>
        <w:rPr>
          <w:rFonts w:ascii="Calibri" w:hAnsi="Calibri"/>
          <w:color w:val="0B2545"/>
          <w:sz w:val="20"/>
        </w:rPr>
        <w:t xml:space="preserve">• </w:t>
      </w:r>
      <w:hyperlink r:id="rId33">
        <w:r>
          <w:rPr>
            <w:rFonts w:ascii="Calibri" w:hAnsi="Calibri"/>
            <w:color w:val="2E74B5"/>
            <w:u w:val="single"/>
          </w:rPr>
          <w:t>Social Security Administration - Plan for retirement</w:t>
        </w:r>
      </w:hyperlink>
      <w:r>
        <w:rPr>
          <w:rFonts w:ascii="Calibri" w:hAnsi="Calibri"/>
          <w:color w:val="5B6573"/>
          <w:sz w:val="17"/>
        </w:rPr>
        <w:br/>
        <w:t xml:space="preserve">  https://www.ssa.gov/retirement/plan-for-retirement</w:t>
      </w:r>
    </w:p>
    <w:p>
      <w:pPr>
        <w:spacing w:after="100" w:line="276" w:lineRule="auto"/>
        <w:ind w:left="259" w:hanging="259"/>
      </w:pPr>
      <w:r>
        <w:rPr>
          <w:rFonts w:ascii="Calibri" w:hAnsi="Calibri"/>
          <w:color w:val="0B2545"/>
          <w:sz w:val="20"/>
        </w:rPr>
        <w:t xml:space="preserve">• </w:t>
      </w:r>
      <w:hyperlink r:id="rId34">
        <w:r>
          <w:rPr>
            <w:rFonts w:ascii="Calibri" w:hAnsi="Calibri"/>
            <w:color w:val="2E74B5"/>
            <w:u w:val="single"/>
          </w:rPr>
          <w:t>IRS - Tax Withholding Estimator</w:t>
        </w:r>
      </w:hyperlink>
      <w:r>
        <w:rPr>
          <w:rFonts w:ascii="Calibri" w:hAnsi="Calibri"/>
          <w:color w:val="5B6573"/>
          <w:sz w:val="17"/>
        </w:rPr>
        <w:br/>
        <w:t xml:space="preserve">  https://www.irs.gov/individuals/tax-withholding-estimator</w:t>
      </w:r>
    </w:p>
    <w:p>
      <w:pPr>
        <w:spacing w:after="100" w:line="276" w:lineRule="auto"/>
        <w:ind w:left="259" w:hanging="259"/>
      </w:pPr>
      <w:r>
        <w:rPr>
          <w:rFonts w:ascii="Calibri" w:hAnsi="Calibri"/>
          <w:color w:val="0B2545"/>
          <w:sz w:val="20"/>
        </w:rPr>
        <w:t xml:space="preserve">• </w:t>
      </w:r>
      <w:hyperlink r:id="rId35">
        <w:r>
          <w:rPr>
            <w:rFonts w:ascii="Calibri" w:hAnsi="Calibri"/>
            <w:color w:val="2E74B5"/>
            <w:u w:val="single"/>
          </w:rPr>
          <w:t>IRS - Catch-up contributions</w:t>
        </w:r>
      </w:hyperlink>
      <w:r>
        <w:rPr>
          <w:rFonts w:ascii="Calibri" w:hAnsi="Calibri"/>
          <w:color w:val="5B6573"/>
          <w:sz w:val="17"/>
        </w:rPr>
        <w:br/>
        <w:t xml:space="preserve">  https://www.irs.gov/retirement-plans/plan-participant-employee/retirement-topics-catch-up-contributions</w:t>
      </w:r>
    </w:p>
    <w:p>
      <w:pPr>
        <w:spacing w:after="100" w:line="276" w:lineRule="auto"/>
        <w:ind w:left="259" w:hanging="259"/>
      </w:pPr>
      <w:r>
        <w:rPr>
          <w:rFonts w:ascii="Calibri" w:hAnsi="Calibri"/>
          <w:color w:val="0B2545"/>
          <w:sz w:val="20"/>
        </w:rPr>
        <w:t xml:space="preserve">• </w:t>
      </w:r>
      <w:hyperlink r:id="rId36">
        <w:r>
          <w:rPr>
            <w:rFonts w:ascii="Calibri" w:hAnsi="Calibri"/>
            <w:color w:val="2E74B5"/>
            <w:u w:val="single"/>
          </w:rPr>
          <w:t>Federal Student Aid - Comparing aid offers</w:t>
        </w:r>
      </w:hyperlink>
      <w:r>
        <w:rPr>
          <w:rFonts w:ascii="Calibri" w:hAnsi="Calibri"/>
          <w:color w:val="5B6573"/>
          <w:sz w:val="17"/>
        </w:rPr>
        <w:br/>
        <w:t xml:space="preserve">  https://studentaid.gov/complete-aid-process/comparing-aid-offers</w:t>
      </w:r>
    </w:p>
    <w:p>
      <w:pPr>
        <w:spacing w:after="100" w:line="276" w:lineRule="auto"/>
        <w:ind w:left="259" w:hanging="259"/>
      </w:pPr>
      <w:r>
        <w:rPr>
          <w:rFonts w:ascii="Calibri" w:hAnsi="Calibri"/>
          <w:color w:val="0B2545"/>
          <w:sz w:val="20"/>
        </w:rPr>
        <w:t xml:space="preserve">• </w:t>
      </w:r>
      <w:hyperlink r:id="rId37">
        <w:r>
          <w:rPr>
            <w:rFonts w:ascii="Calibri" w:hAnsi="Calibri"/>
            <w:color w:val="2E74B5"/>
            <w:u w:val="single"/>
          </w:rPr>
          <w:t>Federal Student Aid - Loan repayment calculator</w:t>
        </w:r>
      </w:hyperlink>
      <w:r>
        <w:rPr>
          <w:rFonts w:ascii="Calibri" w:hAnsi="Calibri"/>
          <w:color w:val="5B6573"/>
          <w:sz w:val="17"/>
        </w:rPr>
        <w:br/>
        <w:t xml:space="preserve">  https://studentaid.gov/repayment-calculator</w:t>
      </w:r>
    </w:p>
    <w:p>
      <w:pPr>
        <w:pStyle w:val="Heading2"/>
        <w:keepNext/>
      </w:pPr>
      <w:r>
        <w:t>Verify these items every year</w:t>
      </w:r>
    </w:p>
    <w:p>
      <w:pPr>
        <w:numPr>
          <w:ilvl w:val="0"/>
          <w:numId w:val="39"/>
        </w:numPr>
        <w:spacing w:before="0" w:after="80" w:line="300" w:lineRule="auto"/>
      </w:pPr>
      <w:r>
        <w:rPr>
          <w:rFonts w:ascii="Calibri" w:hAnsi="Calibri"/>
          <w:color w:val="0B2545"/>
          <w:sz w:val="22"/>
        </w:rPr>
        <w:t>Retirement-plan, IRA, and catch-up contribution limits.</w:t>
      </w:r>
    </w:p>
    <w:p>
      <w:pPr>
        <w:numPr>
          <w:ilvl w:val="0"/>
          <w:numId w:val="39"/>
        </w:numPr>
        <w:spacing w:before="0" w:after="80" w:line="300" w:lineRule="auto"/>
      </w:pPr>
      <w:r>
        <w:rPr>
          <w:rFonts w:ascii="Calibri" w:hAnsi="Calibri"/>
          <w:color w:val="0B2545"/>
          <w:sz w:val="22"/>
        </w:rPr>
        <w:t>Tax brackets, credits, filing thresholds, withholding guidance, and free-preparation eligibility.</w:t>
      </w:r>
    </w:p>
    <w:p>
      <w:pPr>
        <w:numPr>
          <w:ilvl w:val="0"/>
          <w:numId w:val="39"/>
        </w:numPr>
        <w:spacing w:before="0" w:after="80" w:line="300" w:lineRule="auto"/>
      </w:pPr>
      <w:r>
        <w:rPr>
          <w:rFonts w:ascii="Calibri" w:hAnsi="Calibri"/>
          <w:color w:val="0B2545"/>
          <w:sz w:val="22"/>
        </w:rPr>
        <w:t>Social Security earnings limits, estimates, and benefit rules.</w:t>
      </w:r>
    </w:p>
    <w:p>
      <w:pPr>
        <w:numPr>
          <w:ilvl w:val="0"/>
          <w:numId w:val="39"/>
        </w:numPr>
        <w:spacing w:before="0" w:after="80" w:line="300" w:lineRule="auto"/>
      </w:pPr>
      <w:r>
        <w:rPr>
          <w:rFonts w:ascii="Calibri" w:hAnsi="Calibri"/>
          <w:color w:val="0B2545"/>
          <w:sz w:val="22"/>
        </w:rPr>
        <w:t>Federal student-loan repayment, forgiveness, and interest rules.</w:t>
      </w:r>
    </w:p>
    <w:p>
      <w:pPr>
        <w:numPr>
          <w:ilvl w:val="0"/>
          <w:numId w:val="39"/>
        </w:numPr>
        <w:spacing w:before="0" w:after="80" w:line="300" w:lineRule="auto"/>
      </w:pPr>
      <w:r>
        <w:rPr>
          <w:rFonts w:ascii="Calibri" w:hAnsi="Calibri"/>
          <w:color w:val="0B2545"/>
          <w:sz w:val="22"/>
        </w:rPr>
        <w:t>Deposit-insurance rules and limits.</w:t>
      </w:r>
    </w:p>
    <w:p>
      <w:pPr>
        <w:numPr>
          <w:ilvl w:val="0"/>
          <w:numId w:val="39"/>
        </w:numPr>
        <w:spacing w:before="0" w:after="80" w:line="300" w:lineRule="auto"/>
      </w:pPr>
      <w:r>
        <w:rPr>
          <w:rFonts w:ascii="Calibri" w:hAnsi="Calibri"/>
          <w:color w:val="0B2545"/>
          <w:sz w:val="22"/>
        </w:rPr>
        <w:t>Credit-report availability and identity-protection procedures.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color w:val="5B6573"/>
        <w:sz w:val="17"/>
      </w:rPr>
      <w:t xml:space="preserve">Page </w:t>
    </w:r>
    <w:fldSimple w:instr="PAGE" w:dirty="true">
      <w:r>
        <w:rPr>
          <w:rFonts w:ascii="Calibri" w:hAnsi="Calibri"/>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B6573"/>
        <w:sz w:val="17"/>
      </w:rPr>
      <w:t>HOUSEHOLD FINANCE SKILLS  |  DAILY CONTROL TO GENERATIONAL WEALTH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80" w:line="300" w:lineRule="auto"/>
      </w:pPr>
    </w:lvl>
  </w:abstractNum>
  <w:num w:numId="10">
    <w:abstractNumId w:val="9"/>
  </w:num>
  <w:abstractNum w:abstractNumId="10">
    <w:multiLevelType w:val="singleLevel"/>
    <w:lvl w:ilvl="0">
      <w:start w:val="1"/>
      <w:numFmt w:val="decimal"/>
      <w:lvlText w:val="%1."/>
      <w:lvlJc w:val="left"/>
      <w:pPr>
        <w:tabs>
          <w:tab w:val="num" w:pos="540"/>
        </w:tabs>
        <w:ind w:left="540" w:hanging="270"/>
        <w:spacing w:after="80" w:line="300" w:lineRule="auto"/>
      </w:pPr>
    </w:lvl>
  </w:abstractNum>
  <w:num w:numId="11">
    <w:abstractNumId w:val="10"/>
  </w:num>
  <w:abstractNum w:abstractNumId="11">
    <w:multiLevelType w:val="singleLevel"/>
    <w:lvl w:ilvl="0">
      <w:start w:val="1"/>
      <w:numFmt w:val="bullet"/>
      <w:lvlText w:val="•"/>
      <w:lvlJc w:val="left"/>
      <w:pPr>
        <w:tabs>
          <w:tab w:val="num" w:pos="540"/>
        </w:tabs>
        <w:ind w:left="540" w:hanging="270"/>
        <w:spacing w:after="80" w:line="300" w:lineRule="auto"/>
      </w:pPr>
    </w:lvl>
  </w:abstractNum>
  <w:num w:numId="12">
    <w:abstractNumId w:val="11"/>
  </w:num>
  <w:abstractNum w:abstractNumId="12">
    <w:multiLevelType w:val="singleLevel"/>
    <w:lvl w:ilvl="0">
      <w:start w:val="1"/>
      <w:numFmt w:val="decimal"/>
      <w:lvlText w:val="%1."/>
      <w:lvlJc w:val="left"/>
      <w:pPr>
        <w:tabs>
          <w:tab w:val="num" w:pos="540"/>
        </w:tabs>
        <w:ind w:left="540" w:hanging="270"/>
        <w:spacing w:after="80" w:line="300" w:lineRule="auto"/>
      </w:pPr>
    </w:lvl>
  </w:abstractNum>
  <w:num w:numId="13">
    <w:abstractNumId w:val="12"/>
  </w:num>
  <w:abstractNum w:abstractNumId="13">
    <w:multiLevelType w:val="singleLevel"/>
    <w:lvl w:ilvl="0">
      <w:start w:val="1"/>
      <w:numFmt w:val="bullet"/>
      <w:lvlText w:val="•"/>
      <w:lvlJc w:val="left"/>
      <w:pPr>
        <w:tabs>
          <w:tab w:val="num" w:pos="540"/>
        </w:tabs>
        <w:ind w:left="540" w:hanging="270"/>
        <w:spacing w:after="80" w:line="300" w:lineRule="auto"/>
      </w:pPr>
    </w:lvl>
  </w:abstractNum>
  <w:num w:numId="14">
    <w:abstractNumId w:val="13"/>
  </w:num>
  <w:abstractNum w:abstractNumId="14">
    <w:multiLevelType w:val="singleLevel"/>
    <w:lvl w:ilvl="0">
      <w:start w:val="1"/>
      <w:numFmt w:val="decimal"/>
      <w:lvlText w:val="%1."/>
      <w:lvlJc w:val="left"/>
      <w:pPr>
        <w:tabs>
          <w:tab w:val="num" w:pos="540"/>
        </w:tabs>
        <w:ind w:left="540" w:hanging="270"/>
        <w:spacing w:after="80" w:line="300" w:lineRule="auto"/>
      </w:pPr>
    </w:lvl>
  </w:abstractNum>
  <w:num w:numId="15">
    <w:abstractNumId w:val="14"/>
  </w:num>
  <w:abstractNum w:abstractNumId="15">
    <w:multiLevelType w:val="singleLevel"/>
    <w:lvl w:ilvl="0">
      <w:start w:val="1"/>
      <w:numFmt w:val="bullet"/>
      <w:lvlText w:val="•"/>
      <w:lvlJc w:val="left"/>
      <w:pPr>
        <w:tabs>
          <w:tab w:val="num" w:pos="540"/>
        </w:tabs>
        <w:ind w:left="540" w:hanging="270"/>
        <w:spacing w:after="80" w:line="300" w:lineRule="auto"/>
      </w:pPr>
    </w:lvl>
  </w:abstractNum>
  <w:num w:numId="16">
    <w:abstractNumId w:val="15"/>
  </w:num>
  <w:abstractNum w:abstractNumId="16">
    <w:multiLevelType w:val="singleLevel"/>
    <w:lvl w:ilvl="0">
      <w:start w:val="1"/>
      <w:numFmt w:val="decimal"/>
      <w:lvlText w:val="%1."/>
      <w:lvlJc w:val="left"/>
      <w:pPr>
        <w:tabs>
          <w:tab w:val="num" w:pos="540"/>
        </w:tabs>
        <w:ind w:left="540" w:hanging="270"/>
        <w:spacing w:after="80" w:line="300" w:lineRule="auto"/>
      </w:pPr>
    </w:lvl>
  </w:abstractNum>
  <w:num w:numId="17">
    <w:abstractNumId w:val="16"/>
  </w:num>
  <w:abstractNum w:abstractNumId="17">
    <w:multiLevelType w:val="singleLevel"/>
    <w:lvl w:ilvl="0">
      <w:start w:val="1"/>
      <w:numFmt w:val="bullet"/>
      <w:lvlText w:val="•"/>
      <w:lvlJc w:val="left"/>
      <w:pPr>
        <w:tabs>
          <w:tab w:val="num" w:pos="540"/>
        </w:tabs>
        <w:ind w:left="540" w:hanging="270"/>
        <w:spacing w:after="80" w:line="300" w:lineRule="auto"/>
      </w:pPr>
    </w:lvl>
  </w:abstractNum>
  <w:num w:numId="18">
    <w:abstractNumId w:val="17"/>
  </w:num>
  <w:abstractNum w:abstractNumId="18">
    <w:multiLevelType w:val="singleLevel"/>
    <w:lvl w:ilvl="0">
      <w:start w:val="1"/>
      <w:numFmt w:val="decimal"/>
      <w:lvlText w:val="%1."/>
      <w:lvlJc w:val="left"/>
      <w:pPr>
        <w:tabs>
          <w:tab w:val="num" w:pos="540"/>
        </w:tabs>
        <w:ind w:left="540" w:hanging="270"/>
        <w:spacing w:after="80" w:line="300" w:lineRule="auto"/>
      </w:pPr>
    </w:lvl>
  </w:abstractNum>
  <w:num w:numId="19">
    <w:abstractNumId w:val="18"/>
  </w:num>
  <w:abstractNum w:abstractNumId="19">
    <w:multiLevelType w:val="singleLevel"/>
    <w:lvl w:ilvl="0">
      <w:start w:val="1"/>
      <w:numFmt w:val="bullet"/>
      <w:lvlText w:val="•"/>
      <w:lvlJc w:val="left"/>
      <w:pPr>
        <w:tabs>
          <w:tab w:val="num" w:pos="540"/>
        </w:tabs>
        <w:ind w:left="540" w:hanging="270"/>
        <w:spacing w:after="80" w:line="300" w:lineRule="auto"/>
      </w:pPr>
    </w:lvl>
  </w:abstractNum>
  <w:num w:numId="20">
    <w:abstractNumId w:val="19"/>
  </w:num>
  <w:abstractNum w:abstractNumId="20">
    <w:multiLevelType w:val="singleLevel"/>
    <w:lvl w:ilvl="0">
      <w:start w:val="1"/>
      <w:numFmt w:val="decimal"/>
      <w:lvlText w:val="%1."/>
      <w:lvlJc w:val="left"/>
      <w:pPr>
        <w:tabs>
          <w:tab w:val="num" w:pos="540"/>
        </w:tabs>
        <w:ind w:left="540" w:hanging="270"/>
        <w:spacing w:after="80" w:line="300" w:lineRule="auto"/>
      </w:pPr>
    </w:lvl>
  </w:abstractNum>
  <w:num w:numId="21">
    <w:abstractNumId w:val="20"/>
  </w:num>
  <w:abstractNum w:abstractNumId="21">
    <w:multiLevelType w:val="singleLevel"/>
    <w:lvl w:ilvl="0">
      <w:start w:val="1"/>
      <w:numFmt w:val="bullet"/>
      <w:lvlText w:val="•"/>
      <w:lvlJc w:val="left"/>
      <w:pPr>
        <w:tabs>
          <w:tab w:val="num" w:pos="540"/>
        </w:tabs>
        <w:ind w:left="540" w:hanging="270"/>
        <w:spacing w:after="80" w:line="300" w:lineRule="auto"/>
      </w:pPr>
    </w:lvl>
  </w:abstractNum>
  <w:num w:numId="22">
    <w:abstractNumId w:val="21"/>
  </w:num>
  <w:abstractNum w:abstractNumId="22">
    <w:multiLevelType w:val="singleLevel"/>
    <w:lvl w:ilvl="0">
      <w:start w:val="1"/>
      <w:numFmt w:val="decimal"/>
      <w:lvlText w:val="%1."/>
      <w:lvlJc w:val="left"/>
      <w:pPr>
        <w:tabs>
          <w:tab w:val="num" w:pos="540"/>
        </w:tabs>
        <w:ind w:left="540" w:hanging="270"/>
        <w:spacing w:after="80" w:line="300" w:lineRule="auto"/>
      </w:pPr>
    </w:lvl>
  </w:abstractNum>
  <w:num w:numId="23">
    <w:abstractNumId w:val="22"/>
  </w:num>
  <w:abstractNum w:abstractNumId="23">
    <w:multiLevelType w:val="singleLevel"/>
    <w:lvl w:ilvl="0">
      <w:start w:val="1"/>
      <w:numFmt w:val="bullet"/>
      <w:lvlText w:val="•"/>
      <w:lvlJc w:val="left"/>
      <w:pPr>
        <w:tabs>
          <w:tab w:val="num" w:pos="540"/>
        </w:tabs>
        <w:ind w:left="540" w:hanging="270"/>
        <w:spacing w:after="80" w:line="300" w:lineRule="auto"/>
      </w:pPr>
    </w:lvl>
  </w:abstractNum>
  <w:num w:numId="24">
    <w:abstractNumId w:val="23"/>
  </w:num>
  <w:abstractNum w:abstractNumId="24">
    <w:multiLevelType w:val="singleLevel"/>
    <w:lvl w:ilvl="0">
      <w:start w:val="1"/>
      <w:numFmt w:val="decimal"/>
      <w:lvlText w:val="%1."/>
      <w:lvlJc w:val="left"/>
      <w:pPr>
        <w:tabs>
          <w:tab w:val="num" w:pos="540"/>
        </w:tabs>
        <w:ind w:left="540" w:hanging="270"/>
        <w:spacing w:after="80" w:line="300" w:lineRule="auto"/>
      </w:pPr>
    </w:lvl>
  </w:abstractNum>
  <w:num w:numId="25">
    <w:abstractNumId w:val="24"/>
  </w:num>
  <w:abstractNum w:abstractNumId="25">
    <w:multiLevelType w:val="singleLevel"/>
    <w:lvl w:ilvl="0">
      <w:start w:val="1"/>
      <w:numFmt w:val="bullet"/>
      <w:lvlText w:val="•"/>
      <w:lvlJc w:val="left"/>
      <w:pPr>
        <w:tabs>
          <w:tab w:val="num" w:pos="540"/>
        </w:tabs>
        <w:ind w:left="540" w:hanging="270"/>
        <w:spacing w:after="80" w:line="300" w:lineRule="auto"/>
      </w:pPr>
    </w:lvl>
  </w:abstractNum>
  <w:num w:numId="26">
    <w:abstractNumId w:val="25"/>
  </w:num>
  <w:abstractNum w:abstractNumId="26">
    <w:multiLevelType w:val="singleLevel"/>
    <w:lvl w:ilvl="0">
      <w:start w:val="1"/>
      <w:numFmt w:val="decimal"/>
      <w:lvlText w:val="%1."/>
      <w:lvlJc w:val="left"/>
      <w:pPr>
        <w:tabs>
          <w:tab w:val="num" w:pos="540"/>
        </w:tabs>
        <w:ind w:left="540" w:hanging="270"/>
        <w:spacing w:after="80" w:line="300" w:lineRule="auto"/>
      </w:pPr>
    </w:lvl>
  </w:abstractNum>
  <w:num w:numId="27">
    <w:abstractNumId w:val="26"/>
  </w:num>
  <w:abstractNum w:abstractNumId="27">
    <w:multiLevelType w:val="singleLevel"/>
    <w:lvl w:ilvl="0">
      <w:start w:val="1"/>
      <w:numFmt w:val="bullet"/>
      <w:lvlText w:val="•"/>
      <w:lvlJc w:val="left"/>
      <w:pPr>
        <w:tabs>
          <w:tab w:val="num" w:pos="540"/>
        </w:tabs>
        <w:ind w:left="540" w:hanging="270"/>
        <w:spacing w:after="80" w:line="300" w:lineRule="auto"/>
      </w:pPr>
    </w:lvl>
  </w:abstractNum>
  <w:num w:numId="28">
    <w:abstractNumId w:val="27"/>
  </w:num>
  <w:abstractNum w:abstractNumId="28">
    <w:multiLevelType w:val="singleLevel"/>
    <w:lvl w:ilvl="0">
      <w:start w:val="1"/>
      <w:numFmt w:val="decimal"/>
      <w:lvlText w:val="%1."/>
      <w:lvlJc w:val="left"/>
      <w:pPr>
        <w:tabs>
          <w:tab w:val="num" w:pos="540"/>
        </w:tabs>
        <w:ind w:left="540" w:hanging="270"/>
        <w:spacing w:after="80" w:line="300" w:lineRule="auto"/>
      </w:pPr>
    </w:lvl>
  </w:abstractNum>
  <w:num w:numId="29">
    <w:abstractNumId w:val="28"/>
  </w:num>
  <w:abstractNum w:abstractNumId="29">
    <w:multiLevelType w:val="singleLevel"/>
    <w:lvl w:ilvl="0">
      <w:start w:val="1"/>
      <w:numFmt w:val="bullet"/>
      <w:lvlText w:val="•"/>
      <w:lvlJc w:val="left"/>
      <w:pPr>
        <w:tabs>
          <w:tab w:val="num" w:pos="540"/>
        </w:tabs>
        <w:ind w:left="540" w:hanging="270"/>
        <w:spacing w:after="80" w:line="300" w:lineRule="auto"/>
      </w:pPr>
    </w:lvl>
  </w:abstractNum>
  <w:num w:numId="30">
    <w:abstractNumId w:val="29"/>
  </w:num>
  <w:abstractNum w:abstractNumId="30">
    <w:multiLevelType w:val="singleLevel"/>
    <w:lvl w:ilvl="0">
      <w:start w:val="1"/>
      <w:numFmt w:val="decimal"/>
      <w:lvlText w:val="%1."/>
      <w:lvlJc w:val="left"/>
      <w:pPr>
        <w:tabs>
          <w:tab w:val="num" w:pos="540"/>
        </w:tabs>
        <w:ind w:left="540" w:hanging="270"/>
        <w:spacing w:after="80" w:line="300" w:lineRule="auto"/>
      </w:pPr>
    </w:lvl>
  </w:abstractNum>
  <w:num w:numId="31">
    <w:abstractNumId w:val="30"/>
  </w:num>
  <w:abstractNum w:abstractNumId="31">
    <w:multiLevelType w:val="singleLevel"/>
    <w:lvl w:ilvl="0">
      <w:start w:val="1"/>
      <w:numFmt w:val="bullet"/>
      <w:lvlText w:val="•"/>
      <w:lvlJc w:val="left"/>
      <w:pPr>
        <w:tabs>
          <w:tab w:val="num" w:pos="540"/>
        </w:tabs>
        <w:ind w:left="540" w:hanging="270"/>
        <w:spacing w:after="80" w:line="300" w:lineRule="auto"/>
      </w:pPr>
    </w:lvl>
  </w:abstractNum>
  <w:num w:numId="32">
    <w:abstractNumId w:val="31"/>
  </w:num>
  <w:abstractNum w:abstractNumId="32">
    <w:multiLevelType w:val="singleLevel"/>
    <w:lvl w:ilvl="0">
      <w:start w:val="1"/>
      <w:numFmt w:val="decimal"/>
      <w:lvlText w:val="%1."/>
      <w:lvlJc w:val="left"/>
      <w:pPr>
        <w:tabs>
          <w:tab w:val="num" w:pos="540"/>
        </w:tabs>
        <w:ind w:left="540" w:hanging="270"/>
        <w:spacing w:after="80" w:line="300" w:lineRule="auto"/>
      </w:pPr>
    </w:lvl>
  </w:abstractNum>
  <w:num w:numId="33">
    <w:abstractNumId w:val="32"/>
  </w:num>
  <w:abstractNum w:abstractNumId="33">
    <w:multiLevelType w:val="singleLevel"/>
    <w:lvl w:ilvl="0">
      <w:start w:val="1"/>
      <w:numFmt w:val="bullet"/>
      <w:lvlText w:val="•"/>
      <w:lvlJc w:val="left"/>
      <w:pPr>
        <w:tabs>
          <w:tab w:val="num" w:pos="540"/>
        </w:tabs>
        <w:ind w:left="540" w:hanging="270"/>
        <w:spacing w:after="80" w:line="300" w:lineRule="auto"/>
      </w:pPr>
    </w:lvl>
  </w:abstractNum>
  <w:num w:numId="34">
    <w:abstractNumId w:val="33"/>
  </w:num>
  <w:abstractNum w:abstractNumId="34">
    <w:multiLevelType w:val="singleLevel"/>
    <w:lvl w:ilvl="0">
      <w:start w:val="1"/>
      <w:numFmt w:val="decimal"/>
      <w:lvlText w:val="%1."/>
      <w:lvlJc w:val="left"/>
      <w:pPr>
        <w:tabs>
          <w:tab w:val="num" w:pos="540"/>
        </w:tabs>
        <w:ind w:left="540" w:hanging="270"/>
        <w:spacing w:after="80" w:line="300" w:lineRule="auto"/>
      </w:pPr>
    </w:lvl>
  </w:abstractNum>
  <w:num w:numId="35">
    <w:abstractNumId w:val="34"/>
  </w:num>
  <w:abstractNum w:abstractNumId="35">
    <w:multiLevelType w:val="singleLevel"/>
    <w:lvl w:ilvl="0">
      <w:start w:val="1"/>
      <w:numFmt w:val="bullet"/>
      <w:lvlText w:val="•"/>
      <w:lvlJc w:val="left"/>
      <w:pPr>
        <w:tabs>
          <w:tab w:val="num" w:pos="540"/>
        </w:tabs>
        <w:ind w:left="540" w:hanging="270"/>
        <w:spacing w:after="80" w:line="300" w:lineRule="auto"/>
      </w:pPr>
    </w:lvl>
  </w:abstractNum>
  <w:num w:numId="36">
    <w:abstractNumId w:val="35"/>
  </w:num>
  <w:abstractNum w:abstractNumId="36">
    <w:multiLevelType w:val="singleLevel"/>
    <w:lvl w:ilvl="0">
      <w:start w:val="1"/>
      <w:numFmt w:val="decimal"/>
      <w:lvlText w:val="%1."/>
      <w:lvlJc w:val="left"/>
      <w:pPr>
        <w:tabs>
          <w:tab w:val="num" w:pos="540"/>
        </w:tabs>
        <w:ind w:left="540" w:hanging="270"/>
        <w:spacing w:after="80" w:line="300" w:lineRule="auto"/>
      </w:pPr>
    </w:lvl>
  </w:abstractNum>
  <w:num w:numId="37">
    <w:abstractNumId w:val="36"/>
  </w:num>
  <w:abstractNum w:abstractNumId="37">
    <w:multiLevelType w:val="singleLevel"/>
    <w:lvl w:ilvl="0">
      <w:start w:val="1"/>
      <w:numFmt w:val="bullet"/>
      <w:lvlText w:val="•"/>
      <w:lvlJc w:val="left"/>
      <w:pPr>
        <w:tabs>
          <w:tab w:val="num" w:pos="540"/>
        </w:tabs>
        <w:ind w:left="540" w:hanging="270"/>
        <w:spacing w:after="80" w:line="300" w:lineRule="auto"/>
      </w:pPr>
    </w:lvl>
  </w:abstractNum>
  <w:num w:numId="38">
    <w:abstractNumId w:val="37"/>
  </w:num>
  <w:abstractNum w:abstractNumId="38">
    <w:multiLevelType w:val="singleLevel"/>
    <w:lvl w:ilvl="0">
      <w:start w:val="1"/>
      <w:numFmt w:val="bullet"/>
      <w:lvlText w:val="•"/>
      <w:lvlJc w:val="left"/>
      <w:pPr>
        <w:tabs>
          <w:tab w:val="num" w:pos="540"/>
        </w:tabs>
        <w:ind w:left="540" w:hanging="270"/>
        <w:spacing w:after="80" w:line="300" w:lineRule="auto"/>
      </w:pPr>
    </w:lvl>
  </w:abstract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0B25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Calibri" w:hAnsi="Calibri"/>
      <w:b/>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Calibri" w:hAnsi="Calibri"/>
      <w: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211.org/" TargetMode="External"/><Relationship Id="rId12" Type="http://schemas.openxmlformats.org/officeDocument/2006/relationships/hyperlink" Target="https://www.usa.gov/benefits" TargetMode="External"/><Relationship Id="rId13" Type="http://schemas.openxmlformats.org/officeDocument/2006/relationships/hyperlink" Target="https://www.irs.gov/individuals/free-tax-return-preparation-for-qualifying-taxpayers" TargetMode="External"/><Relationship Id="rId14" Type="http://schemas.openxmlformats.org/officeDocument/2006/relationships/hyperlink" Target="https://www.hud.gov/findacounselor" TargetMode="External"/><Relationship Id="rId15" Type="http://schemas.openxmlformats.org/officeDocument/2006/relationships/hyperlink" Target="https://www.lsc.gov/about-lsc/what-legal-aid/i-need-legal-help" TargetMode="External"/><Relationship Id="rId16" Type="http://schemas.openxmlformats.org/officeDocument/2006/relationships/hyperlink" Target="https://www.consumerfinance.gov/ask-cfpb/what-is-credit-counseling-en-1451/" TargetMode="External"/><Relationship Id="rId17" Type="http://schemas.openxmlformats.org/officeDocument/2006/relationships/hyperlink" Target="https://banks.data.fdic.gov/bankfind-suite/bankfind" TargetMode="External"/><Relationship Id="rId18" Type="http://schemas.openxmlformats.org/officeDocument/2006/relationships/hyperlink" Target="https://mapping.ncua.gov/" TargetMode="External"/><Relationship Id="rId19" Type="http://schemas.openxmlformats.org/officeDocument/2006/relationships/hyperlink" Target="https://www.shiphelp.org/" TargetMode="External"/><Relationship Id="rId20" Type="http://schemas.openxmlformats.org/officeDocument/2006/relationships/hyperlink" Target="https://www.consumerfinance.gov/consumer-tools/educator-tools/your-money-your-goals/toolkit/" TargetMode="External"/><Relationship Id="rId21" Type="http://schemas.openxmlformats.org/officeDocument/2006/relationships/hyperlink" Target="https://www.consumerfinance.gov/an-essential-guide-to-building-an-emergency-fund/" TargetMode="External"/><Relationship Id="rId22" Type="http://schemas.openxmlformats.org/officeDocument/2006/relationships/hyperlink" Target="https://www.consumerfinance.gov/consumer-tools/credit-reports-and-scores/" TargetMode="External"/><Relationship Id="rId23" Type="http://schemas.openxmlformats.org/officeDocument/2006/relationships/hyperlink" Target="https://www.annualcreditreport.com/" TargetMode="External"/><Relationship Id="rId24" Type="http://schemas.openxmlformats.org/officeDocument/2006/relationships/hyperlink" Target="https://www.consumerfinance.gov/ask-cfpb/how-do-i-compare-auto-loan-offers-what-should-i-look-at-besides-the-monthly-payment-en-753/" TargetMode="External"/><Relationship Id="rId25" Type="http://schemas.openxmlformats.org/officeDocument/2006/relationships/hyperlink" Target="https://consumer.ftc.gov/articles/how-get-out-debt" TargetMode="External"/><Relationship Id="rId26" Type="http://schemas.openxmlformats.org/officeDocument/2006/relationships/hyperlink" Target="https://consumer.ftc.gov/articles/credit-freezes-and-fraud-alerts" TargetMode="External"/><Relationship Id="rId27" Type="http://schemas.openxmlformats.org/officeDocument/2006/relationships/hyperlink" Target="https://www.fdic.gov/consumer-resource-center/money-smart-adults" TargetMode="External"/><Relationship Id="rId28" Type="http://schemas.openxmlformats.org/officeDocument/2006/relationships/hyperlink" Target="https://www.fdic.gov/consumer-resource-center/2025-01/saving-unexpected-and-your-future" TargetMode="External"/><Relationship Id="rId29" Type="http://schemas.openxmlformats.org/officeDocument/2006/relationships/hyperlink" Target="https://www.investor.gov/introduction-investing" TargetMode="External"/><Relationship Id="rId30" Type="http://schemas.openxmlformats.org/officeDocument/2006/relationships/hyperlink" Target="https://www.investor.gov/introduction-investing/investing-basics/glossary/diversification" TargetMode="External"/><Relationship Id="rId31" Type="http://schemas.openxmlformats.org/officeDocument/2006/relationships/hyperlink" Target="https://www.investor.gov/introduction-investing/getting-started/understanding-fees" TargetMode="External"/><Relationship Id="rId32" Type="http://schemas.openxmlformats.org/officeDocument/2006/relationships/hyperlink" Target="https://www.dol.gov/agencies/ebsa/workers-and-families/preparing-for-retirement" TargetMode="External"/><Relationship Id="rId33" Type="http://schemas.openxmlformats.org/officeDocument/2006/relationships/hyperlink" Target="https://www.ssa.gov/retirement/plan-for-retirement" TargetMode="External"/><Relationship Id="rId34" Type="http://schemas.openxmlformats.org/officeDocument/2006/relationships/hyperlink" Target="https://www.irs.gov/individuals/tax-withholding-estimator" TargetMode="External"/><Relationship Id="rId35" Type="http://schemas.openxmlformats.org/officeDocument/2006/relationships/hyperlink" Target="https://www.irs.gov/retirement-plans/plan-participant-employee/retirement-topics-catch-up-contributions" TargetMode="External"/><Relationship Id="rId36" Type="http://schemas.openxmlformats.org/officeDocument/2006/relationships/hyperlink" Target="https://studentaid.gov/complete-aid-process/comparing-aid-offers" TargetMode="External"/><Relationship Id="rId37" Type="http://schemas.openxmlformats.org/officeDocument/2006/relationships/hyperlink" Target="https://studentaid.gov/repayment-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Household Finance Skills Workbook: From Daily Control to Generational Wealth</dc:title>
  <dc:subject>Standalone practical personal-finance curriculum</dc:subject>
  <dc:creator>Brent Roberson</dc:creator>
  <cp:keywords>personal finance, budgeting, cash flow, savings, debt, credit, retirement</cp:keywords>
  <dc:description>Copyright © 2026 Brent Roberson. Updated with a recurring digital-expense audit and standalone worksheet pages.</dc:description>
  <cp:lastModifiedBy>Brent Roberson</cp:lastModifiedBy>
  <cp:revision>1</cp:revision>
  <dcterms:created xsi:type="dcterms:W3CDTF">2013-12-23T23:15:00Z</dcterms:created>
  <dcterms:modified xsi:type="dcterms:W3CDTF">2013-12-23T23:15:00Z</dcterms:modified>
  <cp:category/>
</cp:coreProperties>
</file>